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A20" w:rsidRPr="002F7D34" w:rsidRDefault="006A0A20" w:rsidP="006A0A20">
      <w:pPr>
        <w:rPr>
          <w:sz w:val="24"/>
          <w:szCs w:val="24"/>
        </w:rPr>
      </w:pPr>
      <w:bookmarkStart w:id="0" w:name="_GoBack"/>
      <w:bookmarkEnd w:id="0"/>
    </w:p>
    <w:p w:rsidR="006A0A20" w:rsidRPr="002F7D34" w:rsidRDefault="004E352B" w:rsidP="006A0A20">
      <w:pPr>
        <w:spacing w:before="240" w:after="240" w:line="360" w:lineRule="auto"/>
        <w:jc w:val="right"/>
        <w:rPr>
          <w:rFonts w:ascii="Palatino Linotype" w:hAnsi="Palatino Linotype"/>
          <w:b/>
          <w:sz w:val="24"/>
          <w:szCs w:val="24"/>
        </w:rPr>
      </w:pPr>
      <w:r>
        <w:rPr>
          <w:rFonts w:ascii="Palatino Linotype" w:hAnsi="Palatino Linotype"/>
          <w:b/>
          <w:sz w:val="24"/>
          <w:szCs w:val="24"/>
        </w:rPr>
        <w:t>Metepec, México, Agosto 06</w:t>
      </w:r>
      <w:r w:rsidR="006A0A20" w:rsidRPr="002F7D34">
        <w:rPr>
          <w:rFonts w:ascii="Palatino Linotype" w:hAnsi="Palatino Linotype"/>
          <w:b/>
          <w:sz w:val="24"/>
          <w:szCs w:val="24"/>
        </w:rPr>
        <w:t xml:space="preserve"> de 2018</w:t>
      </w:r>
    </w:p>
    <w:p w:rsidR="006A0A20" w:rsidRPr="002F7D34" w:rsidRDefault="00CD62F6" w:rsidP="006A0A20">
      <w:pPr>
        <w:spacing w:before="240" w:after="240" w:line="360" w:lineRule="auto"/>
        <w:jc w:val="both"/>
        <w:rPr>
          <w:rFonts w:ascii="Palatino Linotype" w:hAnsi="Palatino Linotype"/>
          <w:sz w:val="24"/>
          <w:szCs w:val="24"/>
        </w:rPr>
      </w:pPr>
      <w:r>
        <w:rPr>
          <w:rFonts w:ascii="Palatino Linotype" w:hAnsi="Palatino Linotype"/>
          <w:b/>
          <w:sz w:val="24"/>
          <w:szCs w:val="24"/>
        </w:rPr>
        <w:t>VOTO</w:t>
      </w:r>
      <w:r w:rsidR="006A0A20" w:rsidRPr="002F7D34">
        <w:rPr>
          <w:rFonts w:ascii="Palatino Linotype" w:hAnsi="Palatino Linotype"/>
          <w:b/>
          <w:sz w:val="24"/>
          <w:szCs w:val="24"/>
        </w:rPr>
        <w:t xml:space="preserve"> </w:t>
      </w:r>
      <w:r w:rsidR="003A25E1">
        <w:rPr>
          <w:rFonts w:ascii="Palatino Linotype" w:hAnsi="Palatino Linotype"/>
          <w:b/>
          <w:sz w:val="24"/>
          <w:szCs w:val="24"/>
        </w:rPr>
        <w:t>DISIDENTE</w:t>
      </w:r>
      <w:r w:rsidR="00871A7E">
        <w:rPr>
          <w:rFonts w:ascii="Palatino Linotype" w:hAnsi="Palatino Linotype"/>
          <w:b/>
          <w:sz w:val="24"/>
          <w:szCs w:val="24"/>
        </w:rPr>
        <w:t xml:space="preserve"> </w:t>
      </w:r>
      <w:r w:rsidR="006A0A20" w:rsidRPr="002F7D34">
        <w:rPr>
          <w:rFonts w:ascii="Palatino Linotype" w:hAnsi="Palatino Linotype"/>
          <w:b/>
          <w:sz w:val="24"/>
          <w:szCs w:val="24"/>
        </w:rPr>
        <w:t xml:space="preserve">QUE FORMULA EL COMISIONADO JAVIER MARTÍNEZ CRUZ, EN RELACIÓN CON LA RESOLUCIÓN DICTADA POR EL PLENO DEL INSTITUTO DE TRANSPARENCIA, ACCESO A LA INFORMACIÓN PÚBLICA Y PROTECCIÓN DE DATOS PERSONALES DEL ESTADO DE MÉXICO Y MUNICIPIOS, EN LA </w:t>
      </w:r>
      <w:r w:rsidR="004E352B">
        <w:rPr>
          <w:rFonts w:ascii="Palatino Linotype" w:hAnsi="Palatino Linotype"/>
          <w:b/>
          <w:sz w:val="24"/>
          <w:szCs w:val="24"/>
        </w:rPr>
        <w:t>VIGÉSIMA SÉPTIMA</w:t>
      </w:r>
      <w:r w:rsidR="006A0A20" w:rsidRPr="002F7D34">
        <w:rPr>
          <w:rFonts w:ascii="Palatino Linotype" w:hAnsi="Palatino Linotype"/>
          <w:b/>
          <w:sz w:val="24"/>
          <w:szCs w:val="24"/>
        </w:rPr>
        <w:t xml:space="preserve"> SESIÓN ORDINARIA DEL </w:t>
      </w:r>
      <w:r w:rsidR="004E352B">
        <w:rPr>
          <w:rFonts w:ascii="Palatino Linotype" w:hAnsi="Palatino Linotype"/>
          <w:b/>
          <w:sz w:val="24"/>
          <w:szCs w:val="24"/>
        </w:rPr>
        <w:t>UNO DE AGOSTO</w:t>
      </w:r>
      <w:r w:rsidR="006A0A20" w:rsidRPr="002F7D34">
        <w:rPr>
          <w:rFonts w:ascii="Palatino Linotype" w:hAnsi="Palatino Linotype"/>
          <w:b/>
          <w:sz w:val="24"/>
          <w:szCs w:val="24"/>
        </w:rPr>
        <w:t xml:space="preserve"> DE DOS MIL DIECIOCHO, EN EL RECURSO DE REVISIÓN </w:t>
      </w:r>
      <w:r w:rsidR="004E352B">
        <w:rPr>
          <w:rFonts w:ascii="Palatino Linotype" w:hAnsi="Palatino Linotype"/>
          <w:b/>
          <w:bCs/>
          <w:sz w:val="24"/>
          <w:szCs w:val="24"/>
        </w:rPr>
        <w:t>02066</w:t>
      </w:r>
      <w:r w:rsidR="008D01F8">
        <w:rPr>
          <w:rFonts w:ascii="Palatino Linotype" w:hAnsi="Palatino Linotype"/>
          <w:b/>
          <w:bCs/>
          <w:sz w:val="24"/>
          <w:szCs w:val="24"/>
        </w:rPr>
        <w:t>/INFOEM/IP/RR/2018</w:t>
      </w:r>
      <w:r w:rsidR="00954295" w:rsidRPr="002F7D34">
        <w:rPr>
          <w:rFonts w:ascii="Palatino Linotype" w:hAnsi="Palatino Linotype"/>
          <w:b/>
          <w:bCs/>
          <w:sz w:val="24"/>
          <w:szCs w:val="24"/>
        </w:rPr>
        <w:t>.</w:t>
      </w:r>
    </w:p>
    <w:p w:rsidR="006A0A20" w:rsidRPr="002F7D34" w:rsidRDefault="006A0A20" w:rsidP="006A0A20">
      <w:pPr>
        <w:spacing w:before="240" w:after="240" w:line="360" w:lineRule="auto"/>
        <w:jc w:val="both"/>
        <w:rPr>
          <w:rFonts w:ascii="Palatino Linotype" w:hAnsi="Palatino Linotype"/>
          <w:sz w:val="24"/>
          <w:szCs w:val="24"/>
        </w:rPr>
      </w:pPr>
      <w:r w:rsidRPr="002F7D34">
        <w:rPr>
          <w:rFonts w:ascii="Palatino Linotype" w:hAnsi="Palatino Linotype"/>
          <w:sz w:val="24"/>
          <w:szCs w:val="24"/>
        </w:rPr>
        <w:t xml:space="preserve">El Pleno del Instituto de Transparencia, Acceso a la Información Pública y Protección de Datos Personales del Estado de México resolvió </w:t>
      </w:r>
      <w:r w:rsidR="003A25E1">
        <w:rPr>
          <w:rFonts w:ascii="Palatino Linotype" w:hAnsi="Palatino Linotype"/>
          <w:sz w:val="24"/>
          <w:szCs w:val="24"/>
        </w:rPr>
        <w:t>por mayoría</w:t>
      </w:r>
      <w:r w:rsidR="00871A7E">
        <w:rPr>
          <w:rFonts w:ascii="Palatino Linotype" w:hAnsi="Palatino Linotype"/>
          <w:sz w:val="24"/>
          <w:szCs w:val="24"/>
        </w:rPr>
        <w:t xml:space="preserve"> de votos, </w:t>
      </w:r>
      <w:r w:rsidRPr="002F7D34">
        <w:rPr>
          <w:rFonts w:ascii="Palatino Linotype" w:hAnsi="Palatino Linotype"/>
          <w:sz w:val="24"/>
          <w:szCs w:val="24"/>
        </w:rPr>
        <w:t xml:space="preserve">la resolución relativa al recurso de revisión </w:t>
      </w:r>
      <w:r w:rsidR="004E352B">
        <w:rPr>
          <w:rFonts w:ascii="Palatino Linotype" w:hAnsi="Palatino Linotype" w:cs="Arial"/>
          <w:bCs/>
          <w:sz w:val="24"/>
          <w:szCs w:val="24"/>
          <w:lang w:eastAsia="es-MX"/>
        </w:rPr>
        <w:t>02066</w:t>
      </w:r>
      <w:r w:rsidR="008D01F8">
        <w:rPr>
          <w:rFonts w:ascii="Palatino Linotype" w:hAnsi="Palatino Linotype" w:cs="Arial"/>
          <w:bCs/>
          <w:sz w:val="24"/>
          <w:szCs w:val="24"/>
          <w:lang w:eastAsia="es-MX"/>
        </w:rPr>
        <w:t>/INFOEM/IP/RR/2018</w:t>
      </w:r>
      <w:r w:rsidRPr="002F7D34">
        <w:rPr>
          <w:rFonts w:ascii="Palatino Linotype" w:hAnsi="Palatino Linotype" w:cs="Arial"/>
          <w:bCs/>
          <w:sz w:val="24"/>
          <w:szCs w:val="24"/>
          <w:lang w:eastAsia="es-MX"/>
        </w:rPr>
        <w:t xml:space="preserve"> </w:t>
      </w:r>
      <w:r w:rsidR="00BF7F6A">
        <w:rPr>
          <w:rFonts w:ascii="Palatino Linotype" w:hAnsi="Palatino Linotype"/>
          <w:sz w:val="24"/>
          <w:szCs w:val="24"/>
        </w:rPr>
        <w:t>que presentó</w:t>
      </w:r>
      <w:r w:rsidR="004E352B">
        <w:rPr>
          <w:rFonts w:ascii="Palatino Linotype" w:hAnsi="Palatino Linotype"/>
          <w:sz w:val="24"/>
          <w:szCs w:val="24"/>
        </w:rPr>
        <w:t xml:space="preserve"> </w:t>
      </w:r>
      <w:r w:rsidR="008D01F8">
        <w:rPr>
          <w:rFonts w:ascii="Palatino Linotype" w:hAnsi="Palatino Linotype"/>
          <w:sz w:val="24"/>
          <w:szCs w:val="24"/>
        </w:rPr>
        <w:t>la Comisionada</w:t>
      </w:r>
      <w:r w:rsidR="003A25E1">
        <w:rPr>
          <w:rFonts w:ascii="Palatino Linotype" w:hAnsi="Palatino Linotype"/>
          <w:sz w:val="24"/>
          <w:szCs w:val="24"/>
        </w:rPr>
        <w:t xml:space="preserve"> </w:t>
      </w:r>
      <w:r w:rsidR="004E352B">
        <w:rPr>
          <w:rFonts w:ascii="Palatino Linotype" w:hAnsi="Palatino Linotype"/>
          <w:sz w:val="24"/>
          <w:szCs w:val="24"/>
        </w:rPr>
        <w:t>Eva Abaid Yapur</w:t>
      </w:r>
      <w:r w:rsidRPr="002F7D34">
        <w:rPr>
          <w:rFonts w:ascii="Palatino Linotype" w:hAnsi="Palatino Linotype"/>
          <w:sz w:val="24"/>
          <w:szCs w:val="24"/>
        </w:rPr>
        <w:t xml:space="preserve">, respecto de la cual, </w:t>
      </w:r>
      <w:r w:rsidR="004E352B">
        <w:rPr>
          <w:rFonts w:ascii="Palatino Linotype" w:hAnsi="Palatino Linotype"/>
          <w:sz w:val="24"/>
          <w:szCs w:val="24"/>
        </w:rPr>
        <w:t xml:space="preserve">el suscrito, formula </w:t>
      </w:r>
      <w:r w:rsidR="00CD62F6">
        <w:rPr>
          <w:rFonts w:ascii="Palatino Linotype" w:hAnsi="Palatino Linotype"/>
          <w:b/>
          <w:sz w:val="24"/>
          <w:szCs w:val="24"/>
        </w:rPr>
        <w:t>VOTO</w:t>
      </w:r>
      <w:r w:rsidR="003A25E1">
        <w:rPr>
          <w:rFonts w:ascii="Palatino Linotype" w:hAnsi="Palatino Linotype"/>
          <w:b/>
          <w:sz w:val="24"/>
          <w:szCs w:val="24"/>
        </w:rPr>
        <w:t xml:space="preserve"> DISIDENTE</w:t>
      </w:r>
      <w:r w:rsidRPr="002F7D34">
        <w:rPr>
          <w:rFonts w:ascii="Palatino Linotype" w:hAnsi="Palatino Linotype"/>
          <w:sz w:val="24"/>
          <w:szCs w:val="24"/>
        </w:rPr>
        <w:t>, con fundamento en el artículo 14 fracción XI del Reglamento del Instituto de Transparencia, Acceso a la Información Pública y Protección de Personales Datos del Estado de México.</w:t>
      </w:r>
    </w:p>
    <w:p w:rsidR="006A0A20" w:rsidRPr="002F7D34" w:rsidRDefault="00CD62F6" w:rsidP="006A0A20">
      <w:pPr>
        <w:spacing w:before="240" w:line="360" w:lineRule="auto"/>
        <w:jc w:val="both"/>
        <w:rPr>
          <w:rFonts w:ascii="Palatino Linotype" w:hAnsi="Palatino Linotype"/>
          <w:sz w:val="24"/>
          <w:szCs w:val="24"/>
        </w:rPr>
      </w:pPr>
      <w:r>
        <w:rPr>
          <w:rFonts w:ascii="Palatino Linotype" w:hAnsi="Palatino Linotype"/>
          <w:sz w:val="24"/>
          <w:szCs w:val="24"/>
        </w:rPr>
        <w:t>Previa emisión del presente voto</w:t>
      </w:r>
      <w:r w:rsidR="006A0A20" w:rsidRPr="002F7D34">
        <w:rPr>
          <w:rFonts w:ascii="Palatino Linotype" w:hAnsi="Palatino Linotype"/>
          <w:sz w:val="24"/>
          <w:szCs w:val="24"/>
        </w:rPr>
        <w:t xml:space="preserve">, cabe precisar que la materia en que radicó el recurso de revisión, fue en que </w:t>
      </w:r>
      <w:r w:rsidR="004E352B">
        <w:rPr>
          <w:rFonts w:ascii="Palatino Linotype" w:hAnsi="Palatino Linotype"/>
          <w:sz w:val="24"/>
          <w:szCs w:val="24"/>
        </w:rPr>
        <w:t xml:space="preserve">se proporcionara por parte de la Universidad Autónoma del Estado de México </w:t>
      </w:r>
      <w:r w:rsidR="008D01F8">
        <w:rPr>
          <w:rFonts w:ascii="Palatino Linotype" w:hAnsi="Palatino Linotype"/>
          <w:sz w:val="24"/>
          <w:szCs w:val="24"/>
        </w:rPr>
        <w:t>lo siguiente:</w:t>
      </w:r>
    </w:p>
    <w:p w:rsidR="004E352B" w:rsidRPr="004E352B" w:rsidRDefault="004E352B" w:rsidP="004E352B">
      <w:pPr>
        <w:spacing w:before="240" w:after="240" w:line="360" w:lineRule="auto"/>
        <w:jc w:val="both"/>
        <w:rPr>
          <w:rFonts w:ascii="Palatino Linotype" w:hAnsi="Palatino Linotype"/>
          <w:i/>
          <w:sz w:val="24"/>
          <w:szCs w:val="24"/>
        </w:rPr>
      </w:pPr>
      <w:r w:rsidRPr="004E352B">
        <w:rPr>
          <w:rFonts w:ascii="Palatino Linotype" w:hAnsi="Palatino Linotype"/>
          <w:i/>
          <w:sz w:val="24"/>
          <w:szCs w:val="24"/>
        </w:rPr>
        <w:lastRenderedPageBreak/>
        <w:t>“solicita la relación de todos los vehículos que la UAEM puso a venta, remate, obsequio, préstamo y donación durante el año 2011, 2012, 2013 y 2014. De igual manera los documentos correspondientes que señalen a cada uno de los beneficiarios de dicha venta, remate, obsequio, préstamo y donación durante el año 2011, 2012, 2013 y 2014.” (Sic)</w:t>
      </w:r>
    </w:p>
    <w:p w:rsidR="00F82ADE" w:rsidRPr="00EF09A2" w:rsidRDefault="006A0A20" w:rsidP="006A0A20">
      <w:pPr>
        <w:spacing w:before="240" w:after="240" w:line="360" w:lineRule="auto"/>
        <w:jc w:val="both"/>
        <w:rPr>
          <w:rFonts w:ascii="Palatino Linotype" w:eastAsia="Calibri" w:hAnsi="Palatino Linotype" w:cs="Arial"/>
          <w:color w:val="000000" w:themeColor="text1"/>
          <w:sz w:val="24"/>
          <w:szCs w:val="24"/>
          <w:lang w:val="es-ES"/>
        </w:rPr>
      </w:pPr>
      <w:r w:rsidRPr="002F7D34">
        <w:rPr>
          <w:rFonts w:ascii="Palatino Linotype" w:eastAsia="Calibri" w:hAnsi="Palatino Linotype" w:cs="Arial"/>
          <w:color w:val="000000" w:themeColor="text1"/>
          <w:sz w:val="24"/>
          <w:szCs w:val="24"/>
          <w:lang w:val="es-ES"/>
        </w:rPr>
        <w:t xml:space="preserve">Posteriormente en respuesta el Sujeto Obligado </w:t>
      </w:r>
      <w:r w:rsidR="00F82ADE">
        <w:rPr>
          <w:rFonts w:ascii="Palatino Linotype" w:eastAsia="Calibri" w:hAnsi="Palatino Linotype" w:cs="Arial"/>
          <w:color w:val="000000" w:themeColor="text1"/>
          <w:sz w:val="24"/>
          <w:szCs w:val="24"/>
          <w:lang w:val="es-ES"/>
        </w:rPr>
        <w:t xml:space="preserve">menciona de manera general que </w:t>
      </w:r>
      <w:r w:rsidR="00CD62F6">
        <w:rPr>
          <w:rFonts w:ascii="Palatino Linotype" w:eastAsia="Calibri" w:hAnsi="Palatino Linotype" w:cs="Arial"/>
          <w:color w:val="000000" w:themeColor="text1"/>
          <w:sz w:val="24"/>
          <w:szCs w:val="24"/>
          <w:lang w:val="es-ES"/>
        </w:rPr>
        <w:t xml:space="preserve">la información solicitada por la parte recurrente, </w:t>
      </w:r>
      <w:r w:rsidR="00EF09A2">
        <w:rPr>
          <w:rFonts w:ascii="Palatino Linotype" w:eastAsia="Calibri" w:hAnsi="Palatino Linotype" w:cs="Arial"/>
          <w:color w:val="000000" w:themeColor="text1"/>
          <w:sz w:val="24"/>
          <w:szCs w:val="24"/>
          <w:lang w:val="es-ES"/>
        </w:rPr>
        <w:t xml:space="preserve">respecto a los años 2011 y 2014 se encuentra clasificada como confidencial mediante acuerdo </w:t>
      </w:r>
      <w:r w:rsidR="00EF09A2" w:rsidRPr="00EF09A2">
        <w:rPr>
          <w:rFonts w:ascii="Palatino Linotype" w:eastAsia="Calibri" w:hAnsi="Palatino Linotype" w:cs="Arial"/>
          <w:i/>
          <w:color w:val="000000" w:themeColor="text1"/>
          <w:sz w:val="24"/>
          <w:szCs w:val="24"/>
        </w:rPr>
        <w:t>UAEM/CI/CIC/0025/18</w:t>
      </w:r>
      <w:r w:rsidR="00EF09A2">
        <w:rPr>
          <w:rFonts w:ascii="Palatino Linotype" w:eastAsia="Calibri" w:hAnsi="Palatino Linotype" w:cs="Arial"/>
          <w:i/>
          <w:color w:val="000000" w:themeColor="text1"/>
          <w:sz w:val="24"/>
          <w:szCs w:val="24"/>
        </w:rPr>
        <w:t xml:space="preserve">, </w:t>
      </w:r>
      <w:r w:rsidR="00EF09A2">
        <w:rPr>
          <w:rFonts w:ascii="Palatino Linotype" w:eastAsia="Calibri" w:hAnsi="Palatino Linotype" w:cs="Arial"/>
          <w:color w:val="000000" w:themeColor="text1"/>
          <w:sz w:val="24"/>
          <w:szCs w:val="24"/>
        </w:rPr>
        <w:t>y en relación con la información de los años 2012 y 2013, no tiene registros.</w:t>
      </w:r>
    </w:p>
    <w:p w:rsidR="00B052CF" w:rsidRPr="00B052CF" w:rsidRDefault="00BF7F6A" w:rsidP="00B052CF">
      <w:pPr>
        <w:spacing w:before="100" w:beforeAutospacing="1" w:after="100" w:afterAutospacing="1" w:line="360" w:lineRule="auto"/>
        <w:jc w:val="both"/>
        <w:rPr>
          <w:rFonts w:ascii="Palatino Linotype" w:eastAsia="Calibri" w:hAnsi="Palatino Linotype" w:cs="Arial"/>
          <w:sz w:val="24"/>
          <w:szCs w:val="24"/>
          <w:lang w:val="es-ES" w:eastAsia="es-ES"/>
        </w:rPr>
      </w:pPr>
      <w:r>
        <w:rPr>
          <w:rFonts w:ascii="Palatino Linotype" w:eastAsia="Calibri" w:hAnsi="Palatino Linotype" w:cs="Arial"/>
          <w:color w:val="000000" w:themeColor="text1"/>
          <w:sz w:val="24"/>
          <w:szCs w:val="24"/>
          <w:lang w:val="es-ES"/>
        </w:rPr>
        <w:t>En seguida,</w:t>
      </w:r>
      <w:r w:rsidR="00804243">
        <w:rPr>
          <w:rFonts w:ascii="Palatino Linotype" w:eastAsia="Calibri" w:hAnsi="Palatino Linotype" w:cs="Arial"/>
          <w:color w:val="000000" w:themeColor="text1"/>
          <w:sz w:val="24"/>
          <w:szCs w:val="24"/>
          <w:lang w:val="es-ES"/>
        </w:rPr>
        <w:t xml:space="preserve"> según los argumentos vertidos por la parte</w:t>
      </w:r>
      <w:r w:rsidR="000A4BB5">
        <w:rPr>
          <w:rFonts w:ascii="Palatino Linotype" w:eastAsia="Calibri" w:hAnsi="Palatino Linotype" w:cs="Arial"/>
          <w:color w:val="000000" w:themeColor="text1"/>
          <w:sz w:val="24"/>
          <w:szCs w:val="24"/>
          <w:lang w:val="es-ES"/>
        </w:rPr>
        <w:t xml:space="preserve"> recurrente, se inconforma </w:t>
      </w:r>
      <w:r w:rsidR="00EF09A2">
        <w:rPr>
          <w:rFonts w:ascii="Palatino Linotype" w:eastAsia="Calibri" w:hAnsi="Palatino Linotype" w:cs="Arial"/>
          <w:color w:val="000000" w:themeColor="text1"/>
          <w:sz w:val="24"/>
          <w:szCs w:val="24"/>
          <w:lang w:val="es-ES"/>
        </w:rPr>
        <w:t xml:space="preserve">únicamente </w:t>
      </w:r>
      <w:r w:rsidR="000A4BB5">
        <w:rPr>
          <w:rFonts w:ascii="Palatino Linotype" w:eastAsia="Calibri" w:hAnsi="Palatino Linotype" w:cs="Arial"/>
          <w:color w:val="000000" w:themeColor="text1"/>
          <w:sz w:val="24"/>
          <w:szCs w:val="24"/>
          <w:lang w:val="es-ES"/>
        </w:rPr>
        <w:t xml:space="preserve">porque </w:t>
      </w:r>
      <w:r w:rsidR="00EF09A2">
        <w:rPr>
          <w:rFonts w:ascii="Palatino Linotype" w:eastAsia="Calibri" w:hAnsi="Palatino Linotype" w:cs="Arial"/>
          <w:color w:val="000000" w:themeColor="text1"/>
          <w:sz w:val="24"/>
          <w:szCs w:val="24"/>
          <w:lang w:val="es-ES"/>
        </w:rPr>
        <w:t>se clasifica la información relativa a los nombres de los beneficiarios de las subastas públicas.</w:t>
      </w:r>
    </w:p>
    <w:p w:rsidR="00871A7E" w:rsidRDefault="006A0A20" w:rsidP="006A0A20">
      <w:pPr>
        <w:spacing w:before="240" w:after="240" w:line="360" w:lineRule="auto"/>
        <w:jc w:val="both"/>
        <w:rPr>
          <w:rFonts w:ascii="Palatino Linotype" w:eastAsia="Calibri" w:hAnsi="Palatino Linotype" w:cs="Arial"/>
          <w:color w:val="000000" w:themeColor="text1"/>
          <w:sz w:val="24"/>
          <w:szCs w:val="24"/>
          <w:lang w:val="es-ES"/>
        </w:rPr>
      </w:pPr>
      <w:r w:rsidRPr="002F7D34">
        <w:rPr>
          <w:rFonts w:ascii="Palatino Linotype" w:eastAsia="Calibri" w:hAnsi="Palatino Linotype" w:cs="Arial"/>
          <w:color w:val="000000" w:themeColor="text1"/>
          <w:sz w:val="24"/>
          <w:szCs w:val="24"/>
          <w:lang w:val="es-ES"/>
        </w:rPr>
        <w:t>Cabe precisar que el S</w:t>
      </w:r>
      <w:r w:rsidR="00804243">
        <w:rPr>
          <w:rFonts w:ascii="Palatino Linotype" w:eastAsia="Calibri" w:hAnsi="Palatino Linotype" w:cs="Arial"/>
          <w:color w:val="000000" w:themeColor="text1"/>
          <w:sz w:val="24"/>
          <w:szCs w:val="24"/>
          <w:lang w:val="es-ES"/>
        </w:rPr>
        <w:t xml:space="preserve">ujeto Obligado </w:t>
      </w:r>
      <w:r w:rsidR="000A4BB5">
        <w:rPr>
          <w:rFonts w:ascii="Palatino Linotype" w:eastAsia="Calibri" w:hAnsi="Palatino Linotype" w:cs="Arial"/>
          <w:color w:val="000000" w:themeColor="text1"/>
          <w:sz w:val="24"/>
          <w:szCs w:val="24"/>
          <w:lang w:val="es-ES"/>
        </w:rPr>
        <w:t>en informe justificado, de manera</w:t>
      </w:r>
      <w:r w:rsidR="00EF09A2">
        <w:rPr>
          <w:rFonts w:ascii="Palatino Linotype" w:eastAsia="Calibri" w:hAnsi="Palatino Linotype" w:cs="Arial"/>
          <w:color w:val="000000" w:themeColor="text1"/>
          <w:sz w:val="24"/>
          <w:szCs w:val="24"/>
          <w:lang w:val="es-ES"/>
        </w:rPr>
        <w:t xml:space="preserve"> general ratifica su respuesta.</w:t>
      </w:r>
    </w:p>
    <w:p w:rsidR="000A4BB5" w:rsidRDefault="00BF7F6A" w:rsidP="006A0A20">
      <w:pPr>
        <w:spacing w:before="240" w:after="240" w:line="360" w:lineRule="auto"/>
        <w:jc w:val="both"/>
        <w:rPr>
          <w:rFonts w:ascii="Palatino Linotype" w:eastAsia="Calibri" w:hAnsi="Palatino Linotype" w:cs="Arial"/>
          <w:color w:val="000000" w:themeColor="text1"/>
          <w:sz w:val="24"/>
          <w:szCs w:val="24"/>
          <w:lang w:val="es-ES"/>
        </w:rPr>
      </w:pPr>
      <w:r>
        <w:rPr>
          <w:rFonts w:ascii="Palatino Linotype" w:eastAsia="Calibri" w:hAnsi="Palatino Linotype" w:cs="Arial"/>
          <w:color w:val="000000" w:themeColor="text1"/>
          <w:sz w:val="24"/>
          <w:szCs w:val="24"/>
          <w:lang w:val="es-ES"/>
        </w:rPr>
        <w:t>Consecutivamente</w:t>
      </w:r>
      <w:r w:rsidR="00EF09A2">
        <w:rPr>
          <w:rFonts w:ascii="Palatino Linotype" w:eastAsia="Calibri" w:hAnsi="Palatino Linotype" w:cs="Arial"/>
          <w:color w:val="000000" w:themeColor="text1"/>
          <w:sz w:val="24"/>
          <w:szCs w:val="24"/>
          <w:lang w:val="es-ES"/>
        </w:rPr>
        <w:t xml:space="preserve"> la ponencia que</w:t>
      </w:r>
      <w:r w:rsidR="000A4BB5">
        <w:rPr>
          <w:rFonts w:ascii="Palatino Linotype" w:eastAsia="Calibri" w:hAnsi="Palatino Linotype" w:cs="Arial"/>
          <w:color w:val="000000" w:themeColor="text1"/>
          <w:sz w:val="24"/>
          <w:szCs w:val="24"/>
          <w:lang w:val="es-ES"/>
        </w:rPr>
        <w:t xml:space="preserve"> resolvió, mediante su análisis, llega a la conclusión siguiente:</w:t>
      </w:r>
    </w:p>
    <w:p w:rsidR="00EF09A2" w:rsidRPr="00EF09A2" w:rsidRDefault="00871A7E" w:rsidP="00EF09A2">
      <w:pPr>
        <w:spacing w:before="100" w:beforeAutospacing="1" w:after="100" w:afterAutospacing="1" w:line="360" w:lineRule="auto"/>
        <w:ind w:right="49"/>
        <w:jc w:val="both"/>
        <w:rPr>
          <w:rFonts w:ascii="Palatino Linotype" w:hAnsi="Palatino Linotype" w:cs="Arial"/>
          <w:i/>
        </w:rPr>
      </w:pPr>
      <w:r>
        <w:rPr>
          <w:rFonts w:ascii="Palatino Linotype" w:eastAsia="Calibri" w:hAnsi="Palatino Linotype" w:cs="Arial"/>
          <w:b/>
          <w:bCs/>
          <w:i/>
          <w:color w:val="000000" w:themeColor="text1"/>
          <w:sz w:val="24"/>
          <w:szCs w:val="24"/>
        </w:rPr>
        <w:t>“</w:t>
      </w:r>
      <w:r w:rsidR="00EF09A2" w:rsidRPr="00EF09A2">
        <w:rPr>
          <w:rFonts w:ascii="Palatino Linotype" w:hAnsi="Palatino Linotype" w:cs="Arial"/>
          <w:b/>
          <w:i/>
          <w:color w:val="000000" w:themeColor="text1"/>
          <w:sz w:val="28"/>
          <w:szCs w:val="28"/>
        </w:rPr>
        <w:t>SEGUNDO.</w:t>
      </w:r>
      <w:r w:rsidR="00EF09A2" w:rsidRPr="00EF09A2">
        <w:rPr>
          <w:rFonts w:ascii="Palatino Linotype" w:hAnsi="Palatino Linotype" w:cs="Arial"/>
          <w:i/>
          <w:color w:val="000000" w:themeColor="text1"/>
        </w:rPr>
        <w:t xml:space="preserve"> Se</w:t>
      </w:r>
      <w:r w:rsidR="00EF09A2" w:rsidRPr="00EF09A2">
        <w:rPr>
          <w:rFonts w:ascii="Palatino Linotype" w:hAnsi="Palatino Linotype" w:cs="Arial"/>
          <w:b/>
          <w:i/>
          <w:color w:val="000000" w:themeColor="text1"/>
        </w:rPr>
        <w:t xml:space="preserve"> MODIFICA </w:t>
      </w:r>
      <w:r w:rsidR="00EF09A2" w:rsidRPr="00EF09A2">
        <w:rPr>
          <w:rFonts w:ascii="Palatino Linotype" w:hAnsi="Palatino Linotype" w:cs="Arial"/>
          <w:i/>
          <w:color w:val="000000" w:themeColor="text1"/>
        </w:rPr>
        <w:t xml:space="preserve">la respuesta del </w:t>
      </w:r>
      <w:r w:rsidR="00EF09A2" w:rsidRPr="00EF09A2">
        <w:rPr>
          <w:rFonts w:ascii="Palatino Linotype" w:hAnsi="Palatino Linotype" w:cs="Arial"/>
          <w:b/>
          <w:i/>
          <w:color w:val="000000" w:themeColor="text1"/>
        </w:rPr>
        <w:t xml:space="preserve">SUJETO OBLIGADO </w:t>
      </w:r>
      <w:r w:rsidR="00EF09A2" w:rsidRPr="00EF09A2">
        <w:rPr>
          <w:rFonts w:ascii="Palatino Linotype" w:hAnsi="Palatino Linotype" w:cs="Arial"/>
          <w:i/>
          <w:color w:val="000000" w:themeColor="text1"/>
        </w:rPr>
        <w:t xml:space="preserve">otorgada a la solicitud de información número </w:t>
      </w:r>
      <w:r w:rsidR="00EF09A2" w:rsidRPr="00EF09A2">
        <w:rPr>
          <w:rFonts w:ascii="Palatino Linotype" w:hAnsi="Palatino Linotype" w:cs="Arial"/>
          <w:b/>
          <w:bCs/>
          <w:i/>
        </w:rPr>
        <w:t>00173/UAEM/IP/2018</w:t>
      </w:r>
      <w:r w:rsidR="00EF09A2" w:rsidRPr="00EF09A2">
        <w:rPr>
          <w:rFonts w:ascii="Palatino Linotype" w:hAnsi="Palatino Linotype" w:cs="Arial"/>
          <w:i/>
          <w:color w:val="000000" w:themeColor="text1"/>
        </w:rPr>
        <w:t xml:space="preserve">, en términos del Considerando </w:t>
      </w:r>
      <w:r w:rsidR="00EF09A2" w:rsidRPr="00EF09A2">
        <w:rPr>
          <w:rFonts w:ascii="Palatino Linotype" w:hAnsi="Palatino Linotype" w:cs="Arial"/>
          <w:b/>
          <w:i/>
          <w:color w:val="000000" w:themeColor="text1"/>
        </w:rPr>
        <w:t xml:space="preserve">QUINTO, </w:t>
      </w:r>
      <w:r w:rsidR="00EF09A2" w:rsidRPr="00EF09A2">
        <w:rPr>
          <w:rFonts w:ascii="Palatino Linotype" w:hAnsi="Palatino Linotype" w:cs="Arial"/>
          <w:i/>
        </w:rPr>
        <w:t xml:space="preserve">de la presente resolución, y se </w:t>
      </w:r>
      <w:r w:rsidR="00EF09A2" w:rsidRPr="00EF09A2">
        <w:rPr>
          <w:rFonts w:ascii="Palatino Linotype" w:hAnsi="Palatino Linotype" w:cs="Arial"/>
          <w:b/>
          <w:i/>
        </w:rPr>
        <w:t>ordena</w:t>
      </w:r>
      <w:r w:rsidR="00EF09A2" w:rsidRPr="00EF09A2">
        <w:rPr>
          <w:rFonts w:ascii="Palatino Linotype" w:hAnsi="Palatino Linotype" w:cs="Arial"/>
          <w:i/>
        </w:rPr>
        <w:t xml:space="preserve"> haga entrega al </w:t>
      </w:r>
      <w:r w:rsidR="00EF09A2" w:rsidRPr="00EF09A2">
        <w:rPr>
          <w:rFonts w:ascii="Palatino Linotype" w:hAnsi="Palatino Linotype" w:cs="Arial"/>
          <w:b/>
          <w:i/>
        </w:rPr>
        <w:t>RECURRENTE</w:t>
      </w:r>
      <w:r w:rsidR="00EF09A2" w:rsidRPr="00EF09A2">
        <w:rPr>
          <w:rFonts w:ascii="Palatino Linotype" w:hAnsi="Palatino Linotype" w:cs="Arial"/>
          <w:i/>
        </w:rPr>
        <w:t xml:space="preserve">, de ser procedente en </w:t>
      </w:r>
      <w:r w:rsidR="00EF09A2" w:rsidRPr="00EF09A2">
        <w:rPr>
          <w:rFonts w:ascii="Palatino Linotype" w:hAnsi="Palatino Linotype" w:cs="Arial"/>
          <w:b/>
          <w:i/>
        </w:rPr>
        <w:t>versión pública</w:t>
      </w:r>
      <w:r w:rsidR="00EF09A2" w:rsidRPr="00EF09A2">
        <w:rPr>
          <w:rFonts w:ascii="Palatino Linotype" w:hAnsi="Palatino Linotype" w:cs="Arial"/>
          <w:i/>
        </w:rPr>
        <w:t xml:space="preserve">, vía </w:t>
      </w:r>
      <w:r w:rsidR="00EF09A2" w:rsidRPr="00EF09A2">
        <w:rPr>
          <w:rFonts w:ascii="Palatino Linotype" w:hAnsi="Palatino Linotype" w:cs="Arial"/>
          <w:b/>
          <w:i/>
        </w:rPr>
        <w:t>SAIMEX</w:t>
      </w:r>
      <w:r w:rsidR="00EF09A2" w:rsidRPr="00EF09A2">
        <w:rPr>
          <w:rFonts w:ascii="Palatino Linotype" w:hAnsi="Palatino Linotype" w:cs="Arial"/>
          <w:i/>
        </w:rPr>
        <w:t>, de lo siguiente:</w:t>
      </w:r>
    </w:p>
    <w:p w:rsidR="00EF09A2" w:rsidRPr="00EF09A2" w:rsidRDefault="00EF09A2" w:rsidP="00EF09A2">
      <w:pPr>
        <w:spacing w:before="100" w:beforeAutospacing="1" w:after="100" w:afterAutospacing="1"/>
        <w:ind w:left="709" w:right="901" w:hanging="142"/>
        <w:jc w:val="both"/>
        <w:rPr>
          <w:rFonts w:ascii="Palatino Linotype" w:hAnsi="Palatino Linotype" w:cs="Arial"/>
          <w:i/>
        </w:rPr>
      </w:pPr>
      <w:r w:rsidRPr="00EF09A2">
        <w:rPr>
          <w:rFonts w:ascii="Palatino Linotype" w:hAnsi="Palatino Linotype" w:cs="Arial"/>
          <w:i/>
        </w:rPr>
        <w:lastRenderedPageBreak/>
        <w:t xml:space="preserve">“El documento o documentos en donde conste el  nombre de las personas a las que se les adjudicaron los vehículos que </w:t>
      </w:r>
      <w:r w:rsidRPr="00EF09A2">
        <w:rPr>
          <w:rFonts w:ascii="Palatino Linotype" w:hAnsi="Palatino Linotype" w:cs="Arial"/>
          <w:b/>
          <w:i/>
        </w:rPr>
        <w:t>EL SUJETO OBLIGADO</w:t>
      </w:r>
      <w:r w:rsidRPr="00EF09A2">
        <w:rPr>
          <w:rFonts w:ascii="Palatino Linotype" w:hAnsi="Palatino Linotype" w:cs="Arial"/>
          <w:i/>
        </w:rPr>
        <w:t xml:space="preserve"> subastó en 2011 y 2014 referidos en la respuesta.</w:t>
      </w:r>
    </w:p>
    <w:p w:rsidR="00871A7E" w:rsidRPr="00EF09A2" w:rsidRDefault="00EF09A2" w:rsidP="00EF09A2">
      <w:pPr>
        <w:spacing w:before="100" w:beforeAutospacing="1" w:after="100" w:afterAutospacing="1"/>
        <w:ind w:left="709" w:right="901"/>
        <w:jc w:val="both"/>
        <w:rPr>
          <w:rFonts w:ascii="Palatino Linotype" w:hAnsi="Palatino Linotype" w:cs="Arial"/>
          <w:i/>
        </w:rPr>
      </w:pPr>
      <w:r w:rsidRPr="00EF09A2">
        <w:rPr>
          <w:rFonts w:ascii="Palatino Linotype" w:hAnsi="Palatino Linotype" w:cs="Arial"/>
          <w:i/>
        </w:rPr>
        <w:t xml:space="preserve">Debiendo notificar al </w:t>
      </w:r>
      <w:r w:rsidRPr="00EF09A2">
        <w:rPr>
          <w:rFonts w:ascii="Palatino Linotype" w:hAnsi="Palatino Linotype" w:cs="Arial"/>
          <w:b/>
          <w:i/>
        </w:rPr>
        <w:t xml:space="preserve">RECURRENTE </w:t>
      </w:r>
      <w:r w:rsidRPr="00EF09A2">
        <w:rPr>
          <w:rFonts w:ascii="Palatino Linotype" w:hAnsi="Palatino Linotype" w:cs="Arial"/>
          <w:i/>
        </w:rPr>
        <w:t>el Acuerdo de Clasificación que apruebe el Comité de Transparencia con motivo de la versión pública</w:t>
      </w:r>
      <w:r>
        <w:rPr>
          <w:rFonts w:ascii="Palatino Linotype" w:hAnsi="Palatino Linotype" w:cs="Arial"/>
          <w:i/>
        </w:rPr>
        <w:t>.”</w:t>
      </w:r>
    </w:p>
    <w:p w:rsidR="00EF09A2" w:rsidRDefault="00EF09A2" w:rsidP="00871A7E">
      <w:pPr>
        <w:spacing w:before="100" w:beforeAutospacing="1" w:after="100" w:afterAutospacing="1" w:line="360" w:lineRule="auto"/>
        <w:jc w:val="both"/>
        <w:rPr>
          <w:rFonts w:ascii="Palatino Linotype" w:eastAsia="Calibri" w:hAnsi="Palatino Linotype" w:cs="Arial"/>
          <w:color w:val="000000" w:themeColor="text1"/>
          <w:sz w:val="24"/>
          <w:szCs w:val="24"/>
          <w:lang w:val="es-ES"/>
        </w:rPr>
      </w:pPr>
      <w:r>
        <w:rPr>
          <w:rFonts w:ascii="Palatino Linotype" w:eastAsia="Calibri" w:hAnsi="Palatino Linotype" w:cs="Arial"/>
          <w:color w:val="000000" w:themeColor="text1"/>
          <w:sz w:val="24"/>
          <w:szCs w:val="24"/>
          <w:lang w:val="es-ES"/>
        </w:rPr>
        <w:t>Se determina modificar y ordenar el nombre de las personas a las que se adjudicaron los vehículos en la subasta de los años 2011 y 2014, considerando a juicio del suscrito que no se debía ordenar tal información, derivado de los a</w:t>
      </w:r>
      <w:r w:rsidR="00707453">
        <w:rPr>
          <w:rFonts w:ascii="Palatino Linotype" w:eastAsia="Calibri" w:hAnsi="Palatino Linotype" w:cs="Arial"/>
          <w:color w:val="000000" w:themeColor="text1"/>
          <w:sz w:val="24"/>
          <w:szCs w:val="24"/>
          <w:lang w:val="es-ES"/>
        </w:rPr>
        <w:t>rgumentos expuestos en seguida:</w:t>
      </w:r>
    </w:p>
    <w:p w:rsidR="006D0FB7" w:rsidRDefault="00871A7E" w:rsidP="00871A7E">
      <w:pPr>
        <w:spacing w:before="100" w:beforeAutospacing="1" w:after="100" w:afterAutospacing="1" w:line="360" w:lineRule="auto"/>
        <w:jc w:val="both"/>
        <w:rPr>
          <w:rFonts w:ascii="Palatino Linotype" w:eastAsia="Calibri" w:hAnsi="Palatino Linotype" w:cs="Arial"/>
          <w:sz w:val="24"/>
          <w:szCs w:val="24"/>
          <w:lang w:val="es-ES" w:eastAsia="es-ES"/>
        </w:rPr>
      </w:pPr>
      <w:r w:rsidRPr="00871A7E">
        <w:rPr>
          <w:rFonts w:ascii="Palatino Linotype" w:eastAsia="Calibri" w:hAnsi="Palatino Linotype" w:cs="Arial"/>
          <w:sz w:val="24"/>
          <w:szCs w:val="24"/>
          <w:lang w:val="es-ES" w:eastAsia="es-ES"/>
        </w:rPr>
        <w:t xml:space="preserve">En primer término es preciso mencionar que de las actuaciones contenidas, se advierte que el Sujeto Obligado no niega tener la información, ya que argumenta que </w:t>
      </w:r>
      <w:r w:rsidR="00707453">
        <w:rPr>
          <w:rFonts w:ascii="Palatino Linotype" w:eastAsia="Calibri" w:hAnsi="Palatino Linotype" w:cs="Arial"/>
          <w:sz w:val="24"/>
          <w:szCs w:val="24"/>
          <w:lang w:val="es-ES" w:eastAsia="es-ES"/>
        </w:rPr>
        <w:t xml:space="preserve">la </w:t>
      </w:r>
      <w:r w:rsidRPr="00871A7E">
        <w:rPr>
          <w:rFonts w:ascii="Palatino Linotype" w:eastAsia="Calibri" w:hAnsi="Palatino Linotype" w:cs="Arial"/>
          <w:sz w:val="24"/>
          <w:szCs w:val="24"/>
          <w:lang w:val="es-ES" w:eastAsia="es-ES"/>
        </w:rPr>
        <w:t xml:space="preserve">clasifica como confidencial; </w:t>
      </w:r>
      <w:r w:rsidR="00707453">
        <w:rPr>
          <w:rFonts w:ascii="Palatino Linotype" w:eastAsia="Calibri" w:hAnsi="Palatino Linotype" w:cs="Arial"/>
          <w:sz w:val="24"/>
          <w:szCs w:val="24"/>
          <w:lang w:val="es-ES" w:eastAsia="es-ES"/>
        </w:rPr>
        <w:t>la relacionada con</w:t>
      </w:r>
      <w:r w:rsidRPr="00871A7E">
        <w:rPr>
          <w:rFonts w:ascii="Palatino Linotype" w:eastAsia="Calibri" w:hAnsi="Palatino Linotype" w:cs="Arial"/>
          <w:sz w:val="24"/>
          <w:szCs w:val="24"/>
          <w:lang w:val="es-ES" w:eastAsia="es-ES"/>
        </w:rPr>
        <w:t xml:space="preserve"> </w:t>
      </w:r>
      <w:r w:rsidR="006D0FB7">
        <w:rPr>
          <w:rFonts w:ascii="Palatino Linotype" w:eastAsia="Calibri" w:hAnsi="Palatino Linotype" w:cs="Arial"/>
          <w:sz w:val="24"/>
          <w:szCs w:val="24"/>
          <w:lang w:val="es-ES" w:eastAsia="es-ES"/>
        </w:rPr>
        <w:t>los nombres de los beneficiarios de la subasta pública de vehículos.</w:t>
      </w:r>
    </w:p>
    <w:p w:rsidR="00871A7E" w:rsidRPr="00D464E6" w:rsidRDefault="000A39E4" w:rsidP="00D464E6">
      <w:pPr>
        <w:spacing w:before="100" w:beforeAutospacing="1" w:after="100" w:afterAutospacing="1" w:line="360" w:lineRule="auto"/>
        <w:jc w:val="both"/>
        <w:rPr>
          <w:rFonts w:ascii="Palatino Linotype" w:eastAsia="Calibri" w:hAnsi="Palatino Linotype" w:cs="Arial"/>
          <w:i/>
          <w:szCs w:val="24"/>
          <w:lang w:val="es-ES" w:eastAsia="es-ES"/>
        </w:rPr>
      </w:pPr>
      <w:r>
        <w:rPr>
          <w:rFonts w:ascii="Palatino Linotype" w:eastAsia="Calibri" w:hAnsi="Palatino Linotype" w:cs="Arial"/>
          <w:sz w:val="24"/>
          <w:szCs w:val="24"/>
          <w:lang w:val="es-ES" w:eastAsia="es-ES"/>
        </w:rPr>
        <w:t>Cabe precisar que</w:t>
      </w:r>
      <w:r w:rsidR="00871A7E" w:rsidRPr="00871A7E">
        <w:rPr>
          <w:rFonts w:ascii="Palatino Linotype" w:eastAsia="Calibri" w:hAnsi="Palatino Linotype" w:cs="Arial"/>
          <w:sz w:val="24"/>
          <w:szCs w:val="24"/>
          <w:lang w:val="es-ES" w:eastAsia="es-ES"/>
        </w:rPr>
        <w:t xml:space="preserve"> la acción realizada por parte del Sujeto Obligado</w:t>
      </w:r>
      <w:r w:rsidR="00D464E6">
        <w:rPr>
          <w:rFonts w:ascii="Palatino Linotype" w:eastAsia="Calibri" w:hAnsi="Palatino Linotype" w:cs="Arial"/>
          <w:sz w:val="24"/>
          <w:szCs w:val="24"/>
          <w:lang w:val="es-ES" w:eastAsia="es-ES"/>
        </w:rPr>
        <w:t xml:space="preserve"> primigeniamente a consideración particular, fue correcta, ya que el nombre de los beneficiarios, se trata de datos personales que hacen a la persona identificable, </w:t>
      </w:r>
      <w:r w:rsidR="00D464E6">
        <w:rPr>
          <w:rFonts w:ascii="Palatino Linotype" w:eastAsia="Times New Roman" w:hAnsi="Palatino Linotype" w:cs="Arial"/>
          <w:sz w:val="24"/>
        </w:rPr>
        <w:t>establecido</w:t>
      </w:r>
      <w:r w:rsidR="00871A7E" w:rsidRPr="00871A7E">
        <w:rPr>
          <w:rFonts w:ascii="Palatino Linotype" w:eastAsia="Times New Roman" w:hAnsi="Palatino Linotype" w:cs="Arial"/>
          <w:sz w:val="24"/>
        </w:rPr>
        <w:t xml:space="preserve"> en las fracciones XI y XII del artículo 4 de la Ley de Protección de Datos Personales en Posesión de Sujetos Obligados del Estado de México y Municipios, que mencionan lo siguiente:</w:t>
      </w:r>
    </w:p>
    <w:p w:rsidR="00871A7E" w:rsidRPr="00871A7E" w:rsidRDefault="00871A7E" w:rsidP="00871A7E">
      <w:pPr>
        <w:spacing w:before="240" w:after="240" w:line="240" w:lineRule="auto"/>
        <w:ind w:left="851" w:right="851"/>
        <w:jc w:val="both"/>
        <w:rPr>
          <w:rFonts w:ascii="Palatino Linotype" w:eastAsia="Times New Roman" w:hAnsi="Palatino Linotype" w:cs="Arial"/>
          <w:i/>
          <w:szCs w:val="24"/>
          <w:lang w:val="es-ES" w:eastAsia="es-ES"/>
        </w:rPr>
      </w:pPr>
      <w:r w:rsidRPr="00871A7E">
        <w:rPr>
          <w:rFonts w:ascii="Palatino Linotype" w:eastAsia="Times New Roman" w:hAnsi="Palatino Linotype" w:cs="Arial"/>
          <w:i/>
          <w:szCs w:val="24"/>
          <w:lang w:val="es-ES" w:eastAsia="es-ES"/>
        </w:rPr>
        <w:t>“Artículo 4. Para los efectos de esta Ley se entenderá por:</w:t>
      </w:r>
    </w:p>
    <w:p w:rsidR="00871A7E" w:rsidRPr="00871A7E" w:rsidRDefault="00871A7E" w:rsidP="00871A7E">
      <w:pPr>
        <w:spacing w:before="240" w:after="240" w:line="240" w:lineRule="auto"/>
        <w:ind w:left="851" w:right="851"/>
        <w:jc w:val="both"/>
        <w:rPr>
          <w:rFonts w:ascii="Palatino Linotype" w:eastAsia="Times New Roman" w:hAnsi="Palatino Linotype" w:cs="Arial"/>
          <w:i/>
          <w:szCs w:val="24"/>
          <w:lang w:val="es-ES" w:eastAsia="es-ES"/>
        </w:rPr>
      </w:pPr>
      <w:r w:rsidRPr="00871A7E">
        <w:rPr>
          <w:rFonts w:ascii="Palatino Linotype" w:eastAsia="Times New Roman" w:hAnsi="Palatino Linotype" w:cs="Arial"/>
          <w:i/>
          <w:szCs w:val="24"/>
          <w:lang w:val="es-ES" w:eastAsia="es-ES"/>
        </w:rPr>
        <w:t>(…)</w:t>
      </w:r>
    </w:p>
    <w:p w:rsidR="00871A7E" w:rsidRPr="00871A7E" w:rsidRDefault="00871A7E" w:rsidP="00871A7E">
      <w:pPr>
        <w:spacing w:before="240" w:after="240" w:line="240" w:lineRule="auto"/>
        <w:ind w:left="851" w:right="851"/>
        <w:jc w:val="both"/>
        <w:rPr>
          <w:rFonts w:ascii="Palatino Linotype" w:eastAsia="Times New Roman" w:hAnsi="Palatino Linotype" w:cs="Arial"/>
          <w:i/>
          <w:szCs w:val="24"/>
          <w:lang w:val="es-ES" w:eastAsia="es-ES"/>
        </w:rPr>
      </w:pPr>
      <w:r w:rsidRPr="00871A7E">
        <w:rPr>
          <w:rFonts w:ascii="Palatino Linotype" w:eastAsia="Times New Roman" w:hAnsi="Palatino Linotype" w:cs="Arial"/>
          <w:i/>
          <w:szCs w:val="24"/>
          <w:lang w:val="es-ES" w:eastAsia="es-ES"/>
        </w:rPr>
        <w:lastRenderedPageBreak/>
        <w:t xml:space="preserve">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rsidR="00871A7E" w:rsidRPr="00871A7E" w:rsidRDefault="00871A7E" w:rsidP="00871A7E">
      <w:pPr>
        <w:spacing w:before="240" w:after="240" w:line="240" w:lineRule="auto"/>
        <w:ind w:left="851" w:right="851"/>
        <w:jc w:val="both"/>
        <w:rPr>
          <w:rFonts w:ascii="Palatino Linotype" w:eastAsia="Times New Roman" w:hAnsi="Palatino Linotype" w:cs="Arial"/>
          <w:i/>
          <w:szCs w:val="24"/>
          <w:lang w:val="es-ES" w:eastAsia="es-ES"/>
        </w:rPr>
      </w:pPr>
      <w:r w:rsidRPr="00871A7E">
        <w:rPr>
          <w:rFonts w:ascii="Palatino Linotype" w:eastAsia="Times New Roman" w:hAnsi="Palatino Linotype" w:cs="Arial"/>
          <w:i/>
          <w:szCs w:val="24"/>
          <w:lang w:val="es-ES" w:eastAsia="es-ES"/>
        </w:rPr>
        <w:t>XII. Datos personales sensibles: a las referentes de la esfera de su titular cuya utilización indebida pueda dar origen a discriminación o conlleve un riesgo grave para éste. De manera enunciativa más no limitativa, se consideran sensibles los datos personales que puedan Ley de Protección de Datos Personales en Posesión de Sujetos Obligados del Estado de México y Municipios 21 revelar aspectos como origen racial o étnico, estado de salud física o mental, presente o futura, información genética, creencias religiosas, filosóficas y morales, opiniones políticas y preferencia sexual. (…)”</w:t>
      </w:r>
    </w:p>
    <w:p w:rsidR="00871A7E" w:rsidRDefault="00871A7E" w:rsidP="00871A7E">
      <w:pPr>
        <w:spacing w:before="240" w:after="240" w:line="360" w:lineRule="auto"/>
        <w:jc w:val="both"/>
        <w:rPr>
          <w:rFonts w:ascii="Palatino Linotype" w:eastAsia="Arial Unicode MS" w:hAnsi="Palatino Linotype" w:cs="Arial"/>
          <w:sz w:val="24"/>
          <w:szCs w:val="24"/>
        </w:rPr>
      </w:pPr>
      <w:r w:rsidRPr="00871A7E">
        <w:rPr>
          <w:rFonts w:ascii="Palatino Linotype" w:eastAsia="Arial Unicode MS" w:hAnsi="Palatino Linotype" w:cs="Arial"/>
          <w:sz w:val="24"/>
          <w:szCs w:val="24"/>
        </w:rPr>
        <w:t>Correlacionado con lo arriba señalado, el nombre de la persona ya sea física o moral vulnera el derecho a la protección de datos personales de los particulares, al aportar datos que permiten relacionar a una persona con su patrimonio.</w:t>
      </w:r>
    </w:p>
    <w:p w:rsidR="00871A7E" w:rsidRPr="00871A7E" w:rsidRDefault="00871A7E" w:rsidP="00871A7E">
      <w:pPr>
        <w:spacing w:before="240" w:after="240" w:line="360" w:lineRule="auto"/>
        <w:jc w:val="both"/>
        <w:rPr>
          <w:rFonts w:ascii="Palatino Linotype" w:hAnsi="Palatino Linotype"/>
          <w:sz w:val="24"/>
          <w:szCs w:val="24"/>
        </w:rPr>
      </w:pPr>
      <w:r w:rsidRPr="00871A7E">
        <w:rPr>
          <w:rFonts w:ascii="Palatino Linotype" w:eastAsia="Arial Unicode MS" w:hAnsi="Palatino Linotype" w:cs="Arial"/>
          <w:sz w:val="24"/>
          <w:szCs w:val="24"/>
        </w:rPr>
        <w:t xml:space="preserve">En este contexto, el Código Civil del Estado de México establece </w:t>
      </w:r>
      <w:r w:rsidRPr="00871A7E">
        <w:rPr>
          <w:rFonts w:ascii="Palatino Linotype" w:hAnsi="Palatino Linotype"/>
          <w:sz w:val="24"/>
          <w:szCs w:val="24"/>
        </w:rPr>
        <w:t>como atributos de la personalidad el nombre, domicilio, estado civil y patrimonio, los cuales deben ser protegidos por el Estado, de conformidad con los artículos 2.3 y 2.4, que se insertan enseguida para mayor referencia:</w:t>
      </w:r>
    </w:p>
    <w:p w:rsidR="00871A7E" w:rsidRPr="00871A7E" w:rsidRDefault="00871A7E" w:rsidP="00871A7E">
      <w:pPr>
        <w:spacing w:after="0" w:line="240" w:lineRule="auto"/>
        <w:ind w:left="851" w:right="851"/>
        <w:jc w:val="both"/>
        <w:rPr>
          <w:rFonts w:ascii="Palatino Linotype" w:hAnsi="Palatino Linotype"/>
          <w:i/>
          <w:sz w:val="20"/>
          <w:szCs w:val="20"/>
        </w:rPr>
      </w:pPr>
      <w:r w:rsidRPr="00871A7E">
        <w:rPr>
          <w:rFonts w:ascii="Palatino Linotype" w:hAnsi="Palatino Linotype"/>
          <w:i/>
          <w:sz w:val="20"/>
          <w:szCs w:val="20"/>
        </w:rPr>
        <w:t xml:space="preserve">“Atributos de la personalidad </w:t>
      </w:r>
    </w:p>
    <w:p w:rsidR="00871A7E" w:rsidRPr="00871A7E" w:rsidRDefault="00871A7E" w:rsidP="00871A7E">
      <w:pPr>
        <w:spacing w:after="120" w:line="240" w:lineRule="auto"/>
        <w:ind w:left="851" w:right="851"/>
        <w:jc w:val="both"/>
        <w:rPr>
          <w:rFonts w:ascii="Palatino Linotype" w:hAnsi="Palatino Linotype"/>
          <w:i/>
          <w:sz w:val="20"/>
          <w:szCs w:val="20"/>
        </w:rPr>
      </w:pPr>
      <w:r w:rsidRPr="00871A7E">
        <w:rPr>
          <w:rFonts w:ascii="Palatino Linotype" w:hAnsi="Palatino Linotype"/>
          <w:b/>
          <w:i/>
          <w:sz w:val="20"/>
          <w:szCs w:val="20"/>
        </w:rPr>
        <w:t>Artículo 2.3.-</w:t>
      </w:r>
      <w:r w:rsidRPr="00871A7E">
        <w:rPr>
          <w:rFonts w:ascii="Palatino Linotype" w:hAnsi="Palatino Linotype"/>
          <w:i/>
          <w:sz w:val="20"/>
          <w:szCs w:val="20"/>
        </w:rPr>
        <w:t xml:space="preserve"> Los atributos de la personalidad son el nombre, domicilio, estado civil y patrimonio. </w:t>
      </w:r>
    </w:p>
    <w:p w:rsidR="00871A7E" w:rsidRPr="00871A7E" w:rsidRDefault="00871A7E" w:rsidP="00871A7E">
      <w:pPr>
        <w:spacing w:after="0" w:line="240" w:lineRule="auto"/>
        <w:ind w:left="851" w:right="851"/>
        <w:jc w:val="both"/>
        <w:rPr>
          <w:rFonts w:ascii="Palatino Linotype" w:hAnsi="Palatino Linotype"/>
          <w:i/>
          <w:sz w:val="20"/>
          <w:szCs w:val="20"/>
        </w:rPr>
      </w:pPr>
      <w:r w:rsidRPr="00871A7E">
        <w:rPr>
          <w:rFonts w:ascii="Palatino Linotype" w:hAnsi="Palatino Linotype"/>
          <w:i/>
          <w:sz w:val="20"/>
          <w:szCs w:val="20"/>
        </w:rPr>
        <w:t xml:space="preserve">Concepto y naturaleza de los derechos </w:t>
      </w:r>
    </w:p>
    <w:p w:rsidR="00871A7E" w:rsidRPr="00871A7E" w:rsidRDefault="00871A7E" w:rsidP="00871A7E">
      <w:pPr>
        <w:spacing w:after="0" w:line="240" w:lineRule="auto"/>
        <w:ind w:left="851" w:right="851"/>
        <w:jc w:val="both"/>
        <w:rPr>
          <w:rFonts w:ascii="Palatino Linotype" w:hAnsi="Palatino Linotype"/>
          <w:i/>
          <w:sz w:val="20"/>
          <w:szCs w:val="20"/>
        </w:rPr>
      </w:pPr>
      <w:r w:rsidRPr="00871A7E">
        <w:rPr>
          <w:rFonts w:ascii="Palatino Linotype" w:hAnsi="Palatino Linotype"/>
          <w:b/>
          <w:i/>
          <w:sz w:val="20"/>
          <w:szCs w:val="20"/>
        </w:rPr>
        <w:t>Artículo 2.4.-</w:t>
      </w:r>
      <w:r w:rsidRPr="00871A7E">
        <w:rPr>
          <w:rFonts w:ascii="Palatino Linotype" w:hAnsi="Palatino Linotype"/>
          <w:i/>
          <w:sz w:val="20"/>
          <w:szCs w:val="20"/>
        </w:rPr>
        <w:t xml:space="preserve"> Los derechos de la personalidad constituyen el patrimonio moral o afectivo de las personas físicas. Son inalienables, imprescriptibles e irrenunciables, y goza de ellos también la persona jurídica colectiva en lo que sea compatible con su naturaleza. </w:t>
      </w:r>
    </w:p>
    <w:p w:rsidR="00871A7E" w:rsidRPr="00871A7E" w:rsidRDefault="00871A7E" w:rsidP="00871A7E">
      <w:pPr>
        <w:spacing w:after="0" w:line="240" w:lineRule="auto"/>
        <w:ind w:left="851" w:right="851"/>
        <w:jc w:val="both"/>
        <w:rPr>
          <w:rFonts w:ascii="Palatino Linotype" w:hAnsi="Palatino Linotype"/>
          <w:i/>
          <w:sz w:val="20"/>
          <w:szCs w:val="20"/>
        </w:rPr>
      </w:pPr>
      <w:r w:rsidRPr="00871A7E">
        <w:rPr>
          <w:rFonts w:ascii="Palatino Linotype" w:hAnsi="Palatino Linotype"/>
          <w:i/>
          <w:sz w:val="20"/>
          <w:szCs w:val="20"/>
        </w:rPr>
        <w:t>Es deber del Estado proteger, fomentar y desarrollar estos derechos.”</w:t>
      </w:r>
    </w:p>
    <w:p w:rsidR="00FD6A4A" w:rsidRDefault="00FD6A4A" w:rsidP="00871A7E">
      <w:pPr>
        <w:spacing w:before="240" w:after="240" w:line="360" w:lineRule="auto"/>
        <w:jc w:val="both"/>
        <w:rPr>
          <w:rFonts w:ascii="Palatino Linotype" w:hAnsi="Palatino Linotype"/>
          <w:sz w:val="24"/>
          <w:szCs w:val="24"/>
        </w:rPr>
      </w:pPr>
      <w:r>
        <w:rPr>
          <w:rFonts w:ascii="Palatino Linotype" w:hAnsi="Palatino Linotype"/>
          <w:sz w:val="24"/>
          <w:szCs w:val="24"/>
        </w:rPr>
        <w:lastRenderedPageBreak/>
        <w:t>Correlacionado con lo anterior, el mismo ordenamiento jurídico arriba señalado, establece el concepto del nombre de una persona y la composición de este, en los artículos 2.13 y 2.14, que a la letra dicen:</w:t>
      </w:r>
    </w:p>
    <w:p w:rsidR="00FD6A4A" w:rsidRPr="00FD6A4A" w:rsidRDefault="00FD6A4A" w:rsidP="00707453">
      <w:pPr>
        <w:spacing w:before="100" w:beforeAutospacing="1" w:after="100" w:afterAutospacing="1" w:line="240" w:lineRule="auto"/>
        <w:ind w:left="851" w:right="851"/>
        <w:jc w:val="both"/>
        <w:rPr>
          <w:rFonts w:ascii="Palatino Linotype" w:hAnsi="Palatino Linotype"/>
          <w:i/>
          <w:szCs w:val="24"/>
        </w:rPr>
      </w:pPr>
      <w:r w:rsidRPr="00FD6A4A">
        <w:rPr>
          <w:rFonts w:ascii="Palatino Linotype" w:hAnsi="Palatino Linotype"/>
          <w:i/>
          <w:szCs w:val="24"/>
        </w:rPr>
        <w:t>“Artículo 2.13.- El nombre designa e individualiza a una persona. Composición del</w:t>
      </w:r>
      <w:r>
        <w:rPr>
          <w:rFonts w:ascii="Palatino Linotype" w:hAnsi="Palatino Linotype"/>
          <w:i/>
          <w:szCs w:val="24"/>
        </w:rPr>
        <w:t xml:space="preserve"> nombre de las personas físicas”</w:t>
      </w:r>
    </w:p>
    <w:p w:rsidR="00FD6A4A" w:rsidRPr="00FD6A4A" w:rsidRDefault="00FD6A4A" w:rsidP="00707453">
      <w:pPr>
        <w:spacing w:before="100" w:beforeAutospacing="1" w:after="100" w:afterAutospacing="1" w:line="240" w:lineRule="auto"/>
        <w:ind w:left="851" w:right="851"/>
        <w:jc w:val="both"/>
        <w:rPr>
          <w:rFonts w:ascii="Palatino Linotype" w:hAnsi="Palatino Linotype"/>
          <w:i/>
          <w:szCs w:val="24"/>
        </w:rPr>
      </w:pPr>
      <w:r w:rsidRPr="00FD6A4A">
        <w:rPr>
          <w:rFonts w:ascii="Palatino Linotype" w:hAnsi="Palatino Linotype"/>
          <w:i/>
          <w:szCs w:val="24"/>
        </w:rPr>
        <w:t xml:space="preserve">“Artículo 2.14.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rsidR="00FD6A4A" w:rsidRPr="00FD6A4A" w:rsidRDefault="00FD6A4A" w:rsidP="00707453">
      <w:pPr>
        <w:spacing w:before="100" w:beforeAutospacing="1" w:after="100" w:afterAutospacing="1" w:line="240" w:lineRule="auto"/>
        <w:ind w:left="851" w:right="851"/>
        <w:jc w:val="both"/>
        <w:rPr>
          <w:rFonts w:ascii="Palatino Linotype" w:hAnsi="Palatino Linotype"/>
          <w:i/>
          <w:szCs w:val="24"/>
        </w:rPr>
      </w:pPr>
      <w:r w:rsidRPr="00FD6A4A">
        <w:rPr>
          <w:rFonts w:ascii="Palatino Linotype" w:hAnsi="Palatino Linotype"/>
          <w:i/>
          <w:szCs w:val="24"/>
        </w:rPr>
        <w:t>El orden de los apellidos acordado entre padre y madre se considerará preferentemente para los demás h</w:t>
      </w:r>
      <w:r w:rsidR="00570A34">
        <w:rPr>
          <w:rFonts w:ascii="Palatino Linotype" w:hAnsi="Palatino Linotype"/>
          <w:i/>
          <w:szCs w:val="24"/>
        </w:rPr>
        <w:t>ijos e hijas del mismo vínculo. (…)”</w:t>
      </w:r>
    </w:p>
    <w:p w:rsidR="00570A34" w:rsidRDefault="00FD6A4A" w:rsidP="00871A7E">
      <w:pPr>
        <w:spacing w:before="240" w:after="240" w:line="360" w:lineRule="auto"/>
        <w:jc w:val="both"/>
        <w:rPr>
          <w:rFonts w:ascii="Palatino Linotype" w:hAnsi="Palatino Linotype"/>
          <w:sz w:val="24"/>
          <w:szCs w:val="24"/>
        </w:rPr>
      </w:pPr>
      <w:r>
        <w:rPr>
          <w:rFonts w:ascii="Palatino Linotype" w:hAnsi="Palatino Linotype"/>
          <w:sz w:val="24"/>
          <w:szCs w:val="24"/>
        </w:rPr>
        <w:t xml:space="preserve">Del </w:t>
      </w:r>
      <w:r w:rsidR="00570A34">
        <w:rPr>
          <w:rFonts w:ascii="Palatino Linotype" w:hAnsi="Palatino Linotype"/>
          <w:sz w:val="24"/>
          <w:szCs w:val="24"/>
        </w:rPr>
        <w:t>dispositivo</w:t>
      </w:r>
      <w:r>
        <w:rPr>
          <w:rFonts w:ascii="Palatino Linotype" w:hAnsi="Palatino Linotype"/>
          <w:sz w:val="24"/>
          <w:szCs w:val="24"/>
        </w:rPr>
        <w:t xml:space="preserve"> antes señalado, se aprecia que el nombre de una persona la individualiza y no solo eso, sino también refleja datos </w:t>
      </w:r>
      <w:r w:rsidR="00570A34">
        <w:rPr>
          <w:rFonts w:ascii="Palatino Linotype" w:hAnsi="Palatino Linotype"/>
          <w:sz w:val="24"/>
          <w:szCs w:val="24"/>
        </w:rPr>
        <w:t>concerniente a su esfera individual</w:t>
      </w:r>
      <w:r w:rsidR="00A81076">
        <w:rPr>
          <w:rFonts w:ascii="Palatino Linotype" w:hAnsi="Palatino Linotype"/>
          <w:sz w:val="24"/>
          <w:szCs w:val="24"/>
        </w:rPr>
        <w:t xml:space="preserve"> de derechos, </w:t>
      </w:r>
      <w:r w:rsidR="00570A34">
        <w:rPr>
          <w:rFonts w:ascii="Palatino Linotype" w:hAnsi="Palatino Linotype"/>
          <w:sz w:val="24"/>
          <w:szCs w:val="24"/>
        </w:rPr>
        <w:t>l</w:t>
      </w:r>
      <w:r w:rsidR="00A81076">
        <w:rPr>
          <w:rFonts w:ascii="Palatino Linotype" w:hAnsi="Palatino Linotype"/>
          <w:sz w:val="24"/>
          <w:szCs w:val="24"/>
        </w:rPr>
        <w:t>a</w:t>
      </w:r>
      <w:r w:rsidR="00570A34">
        <w:rPr>
          <w:rFonts w:ascii="Palatino Linotype" w:hAnsi="Palatino Linotype"/>
          <w:sz w:val="24"/>
          <w:szCs w:val="24"/>
        </w:rPr>
        <w:t xml:space="preserve"> cual se estaría vulnerando de manera notoria, aun y cuando se disocie la información.</w:t>
      </w:r>
    </w:p>
    <w:p w:rsidR="00871A7E" w:rsidRPr="00871A7E" w:rsidRDefault="00871A7E" w:rsidP="00871A7E">
      <w:pPr>
        <w:spacing w:before="240" w:after="240" w:line="360" w:lineRule="auto"/>
        <w:jc w:val="both"/>
        <w:rPr>
          <w:rFonts w:ascii="Palatino Linotype" w:hAnsi="Palatino Linotype"/>
          <w:sz w:val="24"/>
          <w:szCs w:val="24"/>
        </w:rPr>
      </w:pPr>
      <w:r w:rsidRPr="00871A7E">
        <w:rPr>
          <w:rFonts w:ascii="Palatino Linotype" w:hAnsi="Palatino Linotype"/>
          <w:sz w:val="24"/>
          <w:szCs w:val="24"/>
        </w:rPr>
        <w:t>Al respecto, la Ley de Protección de Datos Personales en Posesión de Sujetos Obligados del Estado de México y Municipios dispone que el objeto de la misma es, establecer las bases, principios y procedimientos para tutelar y garantizar el derecho que tiene toda persona a la protección de sus datos personales, en posesión de los sujetos obligados, entendiéndose a éstos, como toda la información que</w:t>
      </w:r>
      <w:r w:rsidRPr="00871A7E">
        <w:rPr>
          <w:rFonts w:ascii="Palatino Linotype" w:hAnsi="Palatino Linotype"/>
          <w:i/>
          <w:sz w:val="24"/>
          <w:szCs w:val="24"/>
        </w:rPr>
        <w:t xml:space="preserve"> </w:t>
      </w:r>
      <w:r w:rsidRPr="00871A7E">
        <w:rPr>
          <w:rFonts w:ascii="Palatino Linotype" w:hAnsi="Palatino Linotype"/>
          <w:sz w:val="24"/>
          <w:szCs w:val="24"/>
        </w:rPr>
        <w:t>concierne</w:t>
      </w:r>
      <w:r w:rsidRPr="00871A7E">
        <w:rPr>
          <w:rFonts w:ascii="Palatino Linotype" w:hAnsi="Palatino Linotype"/>
          <w:i/>
          <w:sz w:val="24"/>
          <w:szCs w:val="24"/>
        </w:rPr>
        <w:t xml:space="preserve"> a una persona física o jurídica colectiva identificada o identificable, establecida en cualquier formato o modalidad, y que esté almacenada en los sistemas y bases de datos, se considerará </w:t>
      </w:r>
      <w:r w:rsidRPr="00871A7E">
        <w:rPr>
          <w:rFonts w:ascii="Palatino Linotype" w:hAnsi="Palatino Linotype"/>
          <w:i/>
          <w:sz w:val="24"/>
          <w:szCs w:val="24"/>
        </w:rPr>
        <w:lastRenderedPageBreak/>
        <w:t xml:space="preserve">que una persona es identificable cuando su identidad pueda determinarse directa o indirectamente a través de cualquier documento informativo físico o electrónico. </w:t>
      </w:r>
      <w:r w:rsidRPr="00871A7E">
        <w:rPr>
          <w:rFonts w:ascii="Palatino Linotype" w:hAnsi="Palatino Linotype"/>
          <w:sz w:val="24"/>
          <w:szCs w:val="24"/>
        </w:rPr>
        <w:t xml:space="preserve">Motivo por el cual, </w:t>
      </w:r>
      <w:r w:rsidR="000A39E4">
        <w:rPr>
          <w:rFonts w:ascii="Palatino Linotype" w:hAnsi="Palatino Linotype"/>
          <w:sz w:val="24"/>
          <w:szCs w:val="24"/>
        </w:rPr>
        <w:t>se debía garantizar de esa forma el derecho de protección de datos personales</w:t>
      </w:r>
      <w:r w:rsidRPr="00871A7E">
        <w:rPr>
          <w:rFonts w:ascii="Palatino Linotype" w:hAnsi="Palatino Linotype"/>
          <w:sz w:val="24"/>
          <w:szCs w:val="24"/>
        </w:rPr>
        <w:t>, la vida privada o intimidad de las personas frente a situaciones que no</w:t>
      </w:r>
      <w:r w:rsidR="000A39E4">
        <w:rPr>
          <w:rFonts w:ascii="Palatino Linotype" w:hAnsi="Palatino Linotype"/>
          <w:sz w:val="24"/>
          <w:szCs w:val="24"/>
        </w:rPr>
        <w:t xml:space="preserve"> involucren un interés pú</w:t>
      </w:r>
      <w:r w:rsidR="00707453">
        <w:rPr>
          <w:rFonts w:ascii="Palatino Linotype" w:hAnsi="Palatino Linotype"/>
          <w:sz w:val="24"/>
          <w:szCs w:val="24"/>
        </w:rPr>
        <w:t>blico, como lo es el caso concreto.</w:t>
      </w:r>
    </w:p>
    <w:p w:rsidR="00871A7E" w:rsidRPr="00871A7E" w:rsidRDefault="00871A7E" w:rsidP="00871A7E">
      <w:pPr>
        <w:spacing w:before="240" w:after="240" w:line="360" w:lineRule="auto"/>
        <w:jc w:val="both"/>
        <w:rPr>
          <w:rFonts w:ascii="Palatino Linotype" w:hAnsi="Palatino Linotype"/>
          <w:i/>
          <w:sz w:val="24"/>
          <w:szCs w:val="24"/>
        </w:rPr>
      </w:pPr>
      <w:r w:rsidRPr="00871A7E">
        <w:rPr>
          <w:rFonts w:ascii="Palatino Linotype" w:hAnsi="Palatino Linotype"/>
          <w:sz w:val="24"/>
          <w:szCs w:val="24"/>
        </w:rPr>
        <w:t xml:space="preserve">Al respecto, el </w:t>
      </w:r>
      <w:r w:rsidRPr="00871A7E">
        <w:rPr>
          <w:rFonts w:ascii="Palatino Linotype" w:hAnsi="Palatino Linotype"/>
          <w:i/>
          <w:sz w:val="24"/>
          <w:szCs w:val="24"/>
        </w:rPr>
        <w:t xml:space="preserve">artículo 6 de la Declaración Universal de los Derechos humanos, en el que se afirma que &lt;&lt;todo ser humano tiene derecho, en todas partes, al reconocimiento de su personalidad jurídica.&gt;&gt;Los ordenamientos jurídicos de los Estados miembros, en general en su orden civil, delimitan con mayor precisión el concepto de personalidad de los seres humanos, entendida como la capacidad de que están dotadas las personas para ser sujetos de relaciones jurídicas, desde su nacimiento hasta su muerte, Los datos personales son, por lo tanto, datos relativos a </w:t>
      </w:r>
      <w:r w:rsidRPr="00871A7E">
        <w:rPr>
          <w:rFonts w:ascii="Palatino Linotype" w:hAnsi="Palatino Linotype"/>
          <w:i/>
          <w:sz w:val="24"/>
          <w:szCs w:val="24"/>
          <w:u w:val="single"/>
        </w:rPr>
        <w:t xml:space="preserve">seres vivos </w:t>
      </w:r>
      <w:r w:rsidRPr="00871A7E">
        <w:rPr>
          <w:rFonts w:ascii="Palatino Linotype" w:hAnsi="Palatino Linotype"/>
          <w:i/>
          <w:sz w:val="24"/>
          <w:szCs w:val="24"/>
        </w:rPr>
        <w:t>identificados o identificables en principio.</w:t>
      </w:r>
      <w:r w:rsidRPr="00871A7E">
        <w:rPr>
          <w:rFonts w:ascii="Palatino Linotype" w:hAnsi="Palatino Linotype"/>
          <w:i/>
          <w:sz w:val="24"/>
          <w:szCs w:val="24"/>
          <w:vertAlign w:val="superscript"/>
        </w:rPr>
        <w:footnoteReference w:id="1"/>
      </w:r>
    </w:p>
    <w:p w:rsidR="00E55B1E" w:rsidRDefault="00DF157D" w:rsidP="006A0A20">
      <w:pPr>
        <w:spacing w:before="240" w:after="240" w:line="360" w:lineRule="auto"/>
        <w:jc w:val="both"/>
        <w:rPr>
          <w:rFonts w:ascii="Palatino Linotype" w:eastAsia="Calibri" w:hAnsi="Palatino Linotype" w:cs="Arial"/>
          <w:color w:val="000000" w:themeColor="text1"/>
          <w:sz w:val="24"/>
          <w:szCs w:val="24"/>
          <w:lang w:val="es-ES"/>
        </w:rPr>
      </w:pPr>
      <w:r>
        <w:rPr>
          <w:rFonts w:ascii="Palatino Linotype" w:eastAsia="Calibri" w:hAnsi="Palatino Linotype" w:cs="Arial"/>
          <w:color w:val="000000" w:themeColor="text1"/>
          <w:sz w:val="24"/>
          <w:szCs w:val="24"/>
          <w:lang w:val="es-ES"/>
        </w:rPr>
        <w:t xml:space="preserve">De </w:t>
      </w:r>
      <w:r w:rsidR="00A81076">
        <w:rPr>
          <w:rFonts w:ascii="Palatino Linotype" w:eastAsia="Calibri" w:hAnsi="Palatino Linotype" w:cs="Arial"/>
          <w:color w:val="000000" w:themeColor="text1"/>
          <w:sz w:val="24"/>
          <w:szCs w:val="24"/>
          <w:lang w:val="es-ES"/>
        </w:rPr>
        <w:t>lo</w:t>
      </w:r>
      <w:r>
        <w:rPr>
          <w:rFonts w:ascii="Palatino Linotype" w:eastAsia="Calibri" w:hAnsi="Palatino Linotype" w:cs="Arial"/>
          <w:color w:val="000000" w:themeColor="text1"/>
          <w:sz w:val="24"/>
          <w:szCs w:val="24"/>
          <w:lang w:val="es-ES"/>
        </w:rPr>
        <w:t xml:space="preserve"> anterior, es que </w:t>
      </w:r>
      <w:r w:rsidR="00A81076">
        <w:rPr>
          <w:rFonts w:ascii="Palatino Linotype" w:eastAsia="Calibri" w:hAnsi="Palatino Linotype" w:cs="Arial"/>
          <w:color w:val="000000" w:themeColor="text1"/>
          <w:sz w:val="24"/>
          <w:szCs w:val="24"/>
          <w:lang w:val="es-ES"/>
        </w:rPr>
        <w:t>el suscrito considera que no es procedente ordenar la entrega de los nombres de las personas participantes beneficiadas en la subasta pública, ya que es información relacionada con su patrimonio.</w:t>
      </w:r>
    </w:p>
    <w:p w:rsidR="00A81076" w:rsidRPr="00707453" w:rsidRDefault="00A81076" w:rsidP="00E55B1E">
      <w:pPr>
        <w:spacing w:before="100" w:beforeAutospacing="1" w:after="100" w:afterAutospacing="1" w:line="360" w:lineRule="auto"/>
        <w:jc w:val="both"/>
        <w:rPr>
          <w:rFonts w:ascii="Palatino Linotype" w:hAnsi="Palatino Linotype" w:cs="Arial"/>
          <w:sz w:val="24"/>
        </w:rPr>
      </w:pPr>
      <w:r w:rsidRPr="00707453">
        <w:rPr>
          <w:rFonts w:ascii="Palatino Linotype" w:eastAsia="Calibri" w:hAnsi="Palatino Linotype" w:cs="Arial"/>
          <w:color w:val="000000" w:themeColor="text1"/>
          <w:sz w:val="24"/>
          <w:szCs w:val="24"/>
          <w:lang w:val="es-ES"/>
        </w:rPr>
        <w:t xml:space="preserve">Para que la </w:t>
      </w:r>
      <w:r w:rsidR="005A5B87" w:rsidRPr="00707453">
        <w:rPr>
          <w:rFonts w:ascii="Palatino Linotype" w:eastAsia="Calibri" w:hAnsi="Palatino Linotype" w:cs="Arial"/>
          <w:color w:val="000000" w:themeColor="text1"/>
          <w:sz w:val="24"/>
          <w:szCs w:val="24"/>
          <w:lang w:val="es-ES"/>
        </w:rPr>
        <w:t xml:space="preserve">información requerida </w:t>
      </w:r>
      <w:r w:rsidRPr="00707453">
        <w:rPr>
          <w:rFonts w:ascii="Palatino Linotype" w:eastAsia="Calibri" w:hAnsi="Palatino Linotype" w:cs="Arial"/>
          <w:color w:val="000000" w:themeColor="text1"/>
          <w:sz w:val="24"/>
          <w:szCs w:val="24"/>
          <w:lang w:val="es-ES"/>
        </w:rPr>
        <w:t>tenga un</w:t>
      </w:r>
      <w:r w:rsidR="005A5B87" w:rsidRPr="00707453">
        <w:rPr>
          <w:rFonts w:ascii="Palatino Linotype" w:eastAsia="Calibri" w:hAnsi="Palatino Linotype" w:cs="Arial"/>
          <w:color w:val="000000" w:themeColor="text1"/>
          <w:sz w:val="24"/>
          <w:szCs w:val="24"/>
          <w:lang w:val="es-ES"/>
        </w:rPr>
        <w:t xml:space="preserve"> </w:t>
      </w:r>
      <w:r w:rsidR="00E55B1E" w:rsidRPr="00707453">
        <w:rPr>
          <w:rFonts w:ascii="Palatino Linotype" w:hAnsi="Palatino Linotype" w:cs="Arial"/>
          <w:sz w:val="24"/>
        </w:rPr>
        <w:t xml:space="preserve">interés público </w:t>
      </w:r>
      <w:r w:rsidRPr="00707453">
        <w:rPr>
          <w:rFonts w:ascii="Palatino Linotype" w:hAnsi="Palatino Linotype" w:cs="Arial"/>
          <w:sz w:val="24"/>
        </w:rPr>
        <w:t>se debe realizar un análisis preciso y minucioso de la prueba de interés público, situación que para el caso concreto no se acredita de manera plena.</w:t>
      </w:r>
    </w:p>
    <w:p w:rsidR="00E55B1E" w:rsidRPr="00707453" w:rsidRDefault="00707453" w:rsidP="00E55B1E">
      <w:pPr>
        <w:spacing w:before="100" w:beforeAutospacing="1" w:after="100" w:afterAutospacing="1" w:line="360" w:lineRule="auto"/>
        <w:jc w:val="both"/>
        <w:rPr>
          <w:rFonts w:ascii="Palatino Linotype" w:hAnsi="Palatino Linotype" w:cs="Arial"/>
          <w:sz w:val="24"/>
        </w:rPr>
      </w:pPr>
      <w:r w:rsidRPr="00707453">
        <w:rPr>
          <w:rFonts w:ascii="Palatino Linotype" w:hAnsi="Palatino Linotype" w:cs="Arial"/>
          <w:sz w:val="24"/>
        </w:rPr>
        <w:lastRenderedPageBreak/>
        <w:t>En algunos caso</w:t>
      </w:r>
      <w:r w:rsidR="00E55B1E" w:rsidRPr="00707453">
        <w:rPr>
          <w:rFonts w:ascii="Palatino Linotype" w:hAnsi="Palatino Linotype" w:cs="Arial"/>
          <w:sz w:val="24"/>
        </w:rPr>
        <w:t>s</w:t>
      </w:r>
      <w:r w:rsidRPr="00707453">
        <w:rPr>
          <w:rFonts w:ascii="Palatino Linotype" w:hAnsi="Palatino Linotype" w:cs="Arial"/>
          <w:sz w:val="24"/>
        </w:rPr>
        <w:t xml:space="preserve"> es</w:t>
      </w:r>
      <w:r w:rsidR="00E55B1E" w:rsidRPr="00707453">
        <w:rPr>
          <w:rFonts w:ascii="Palatino Linotype" w:hAnsi="Palatino Linotype" w:cs="Arial"/>
          <w:sz w:val="24"/>
        </w:rPr>
        <w:t xml:space="preserve"> imprescindible dar acceso a la información pública, ya que uno de los argumentos vertidos en la resolución de Amparo en revisión 934/2016, dictada por la Suprema Corte de Justicia de la Nación, fue el siguiente:</w:t>
      </w:r>
    </w:p>
    <w:p w:rsidR="00E55B1E" w:rsidRPr="00707453" w:rsidRDefault="00E55B1E" w:rsidP="00E55B1E">
      <w:pPr>
        <w:spacing w:before="100" w:beforeAutospacing="1" w:after="100" w:afterAutospacing="1" w:line="240" w:lineRule="auto"/>
        <w:ind w:left="851" w:right="851"/>
        <w:jc w:val="both"/>
        <w:rPr>
          <w:rFonts w:ascii="Palatino Linotype" w:hAnsi="Palatino Linotype" w:cs="Arial"/>
          <w:i/>
          <w:lang w:val="es-ES"/>
        </w:rPr>
      </w:pPr>
      <w:r w:rsidRPr="00707453">
        <w:rPr>
          <w:rFonts w:ascii="Palatino Linotype" w:hAnsi="Palatino Linotype" w:cs="Arial"/>
          <w:i/>
          <w:lang w:val="es-ES"/>
        </w:rPr>
        <w:t>“…Como lo ha establecido la Corte Interamericana sobre Derechos Humanos "para que el Estado satisfaga el deber de garantizar adecuadamente diversos derechos protegidos en la Convención, entre ellos el derecho de acceso a la justicia y el conocimiento y acceso a la verdad, es necesario que cumpla su deber de investigar, juzgar y, en su caso, sancionar y reparar las graves violaciones a los derechos humanos…"</w:t>
      </w:r>
    </w:p>
    <w:p w:rsidR="00707453" w:rsidRPr="00707453" w:rsidRDefault="00E55B1E" w:rsidP="00E55B1E">
      <w:pPr>
        <w:spacing w:before="100" w:beforeAutospacing="1" w:after="100" w:afterAutospacing="1" w:line="360" w:lineRule="auto"/>
        <w:jc w:val="both"/>
        <w:rPr>
          <w:rFonts w:ascii="Palatino Linotype" w:hAnsi="Palatino Linotype" w:cs="Arial"/>
          <w:sz w:val="24"/>
          <w:lang w:val="es-ES"/>
        </w:rPr>
      </w:pPr>
      <w:r w:rsidRPr="00707453">
        <w:rPr>
          <w:rFonts w:ascii="Palatino Linotype" w:hAnsi="Palatino Linotype" w:cs="Arial"/>
          <w:sz w:val="24"/>
          <w:lang w:val="es-ES"/>
        </w:rPr>
        <w:t xml:space="preserve">Del argumento </w:t>
      </w:r>
      <w:r w:rsidR="005A5B87" w:rsidRPr="00707453">
        <w:rPr>
          <w:rFonts w:ascii="Palatino Linotype" w:hAnsi="Palatino Linotype" w:cs="Arial"/>
          <w:sz w:val="24"/>
          <w:lang w:val="es-ES"/>
        </w:rPr>
        <w:t>vertido en</w:t>
      </w:r>
      <w:r w:rsidRPr="00707453">
        <w:rPr>
          <w:rFonts w:ascii="Palatino Linotype" w:hAnsi="Palatino Linotype" w:cs="Arial"/>
          <w:sz w:val="24"/>
          <w:lang w:val="es-ES"/>
        </w:rPr>
        <w:t xml:space="preserve"> la resolución antes mencionada se rescata que el Estado como ente político, tiene la obligación de tutelar los derechos humanos y ante todo de dar a conocer a la sociedad </w:t>
      </w:r>
      <w:r w:rsidR="00707453" w:rsidRPr="00707453">
        <w:rPr>
          <w:rFonts w:ascii="Palatino Linotype" w:hAnsi="Palatino Linotype" w:cs="Arial"/>
          <w:sz w:val="24"/>
          <w:lang w:val="es-ES"/>
        </w:rPr>
        <w:t>su actuar, sin vulnerar el derecho de protección de datos personales, de los individuos, ya que cuando se está ante la colisión de dos derechos fundamentales, siempre se debe salvaguardar el que se vea más vulnerado.</w:t>
      </w:r>
    </w:p>
    <w:p w:rsidR="00E55B1E" w:rsidRDefault="005A5B87" w:rsidP="00E55B1E">
      <w:pPr>
        <w:spacing w:before="100" w:beforeAutospacing="1" w:after="100" w:afterAutospacing="1" w:line="360" w:lineRule="auto"/>
        <w:jc w:val="both"/>
        <w:rPr>
          <w:rFonts w:ascii="Palatino Linotype" w:hAnsi="Palatino Linotype" w:cs="Arial"/>
          <w:sz w:val="24"/>
        </w:rPr>
      </w:pPr>
      <w:r w:rsidRPr="00707453">
        <w:rPr>
          <w:rFonts w:ascii="Palatino Linotype" w:hAnsi="Palatino Linotype" w:cs="Arial"/>
          <w:sz w:val="24"/>
          <w:lang w:val="es-ES"/>
        </w:rPr>
        <w:t>Es preciso referir que</w:t>
      </w:r>
      <w:r w:rsidR="00E55B1E" w:rsidRPr="00707453">
        <w:rPr>
          <w:rFonts w:ascii="Palatino Linotype" w:hAnsi="Palatino Linotype" w:cs="Arial"/>
          <w:sz w:val="24"/>
        </w:rPr>
        <w:t xml:space="preserve"> </w:t>
      </w:r>
      <w:r w:rsidRPr="00707453">
        <w:rPr>
          <w:rFonts w:ascii="Palatino Linotype" w:hAnsi="Palatino Linotype" w:cs="Arial"/>
          <w:sz w:val="24"/>
        </w:rPr>
        <w:t>se debe permitir</w:t>
      </w:r>
      <w:r w:rsidR="00E55B1E" w:rsidRPr="00707453">
        <w:rPr>
          <w:rFonts w:ascii="Palatino Linotype" w:hAnsi="Palatino Linotype" w:cs="Arial"/>
          <w:sz w:val="24"/>
        </w:rPr>
        <w:t xml:space="preserve"> el acceso a la información, </w:t>
      </w:r>
      <w:r w:rsidR="00707453" w:rsidRPr="00707453">
        <w:rPr>
          <w:rFonts w:ascii="Palatino Linotype" w:hAnsi="Palatino Linotype" w:cs="Arial"/>
          <w:sz w:val="24"/>
        </w:rPr>
        <w:t xml:space="preserve">solo en los casos </w:t>
      </w:r>
      <w:r w:rsidR="00E55B1E" w:rsidRPr="00707453">
        <w:rPr>
          <w:rFonts w:ascii="Palatino Linotype" w:hAnsi="Palatino Linotype" w:cs="Arial"/>
          <w:sz w:val="24"/>
        </w:rPr>
        <w:t>de orden público e interés social, en virtud de que la sociedad en su conjunto tiene derecho a conocer la conducta de quienes s</w:t>
      </w:r>
      <w:r w:rsidRPr="00707453">
        <w:rPr>
          <w:rFonts w:ascii="Palatino Linotype" w:hAnsi="Palatino Linotype" w:cs="Arial"/>
          <w:sz w:val="24"/>
        </w:rPr>
        <w:t>on sus representantes sociales</w:t>
      </w:r>
      <w:r w:rsidR="00E55B1E" w:rsidRPr="00707453">
        <w:rPr>
          <w:rFonts w:ascii="Palatino Linotype" w:hAnsi="Palatino Linotype" w:cs="Arial"/>
          <w:sz w:val="24"/>
        </w:rPr>
        <w:t xml:space="preserve">, para evitar violaciones graves a los derechos humanos, así como comprender los elementos de carácter objetivo y subjetivo que contribuyeron a crear las condiciones y circunstancias </w:t>
      </w:r>
      <w:r w:rsidRPr="00707453">
        <w:rPr>
          <w:rFonts w:ascii="Palatino Linotype" w:hAnsi="Palatino Linotype" w:cs="Arial"/>
          <w:sz w:val="24"/>
        </w:rPr>
        <w:t>de su actuar.</w:t>
      </w:r>
    </w:p>
    <w:p w:rsidR="00B34863" w:rsidRDefault="005E6D84" w:rsidP="00E55B1E">
      <w:pPr>
        <w:spacing w:before="100" w:beforeAutospacing="1" w:after="100" w:afterAutospacing="1" w:line="360" w:lineRule="auto"/>
        <w:jc w:val="both"/>
        <w:rPr>
          <w:rFonts w:ascii="Palatino Linotype" w:hAnsi="Palatino Linotype" w:cs="Arial"/>
          <w:sz w:val="24"/>
          <w:lang w:val="es-ES"/>
        </w:rPr>
      </w:pPr>
      <w:r>
        <w:rPr>
          <w:rFonts w:ascii="Palatino Linotype" w:hAnsi="Palatino Linotype" w:cs="Arial"/>
          <w:sz w:val="24"/>
          <w:lang w:val="es-ES"/>
        </w:rPr>
        <w:t xml:space="preserve">Ahora, ante el pronunciamiento del Sujeto Obligado, y derivado de las actuaciones del expediente que se resolvió, se tiene que si bien del análisis de la prueba de interés público, dentro de los elementos como lo son el de idoneidad, necesidad y </w:t>
      </w:r>
      <w:r>
        <w:rPr>
          <w:rFonts w:ascii="Palatino Linotype" w:hAnsi="Palatino Linotype" w:cs="Arial"/>
          <w:sz w:val="24"/>
          <w:lang w:val="es-ES"/>
        </w:rPr>
        <w:lastRenderedPageBreak/>
        <w:t xml:space="preserve">proporcionalidad, si bien se acredita el primero, el de idoneidad, no </w:t>
      </w:r>
      <w:r w:rsidR="005E19B5">
        <w:rPr>
          <w:rFonts w:ascii="Palatino Linotype" w:hAnsi="Palatino Linotype" w:cs="Arial"/>
          <w:sz w:val="24"/>
          <w:lang w:val="es-ES"/>
        </w:rPr>
        <w:t>así</w:t>
      </w:r>
      <w:r>
        <w:rPr>
          <w:rFonts w:ascii="Palatino Linotype" w:hAnsi="Palatino Linotype" w:cs="Arial"/>
          <w:sz w:val="24"/>
          <w:lang w:val="es-ES"/>
        </w:rPr>
        <w:t xml:space="preserve"> los restantes, </w:t>
      </w:r>
      <w:r w:rsidR="005E19B5">
        <w:rPr>
          <w:rFonts w:ascii="Palatino Linotype" w:hAnsi="Palatino Linotype" w:cs="Arial"/>
          <w:sz w:val="24"/>
          <w:lang w:val="es-ES"/>
        </w:rPr>
        <w:t>por tal motivo se insiste no se debió de ordenar la entrega de los nombres de los beneficiarios de las subastas públicas, en adición a que como lo estipula la Ley de la materia en la fracción IV del artículo 142, no será procedente la reserva de la información cuando se trate de evidentes casos de corrupción, situación  que no se enmarca de manera precisa en el presente asunto, ya que no hay incididos de actos de corrupción ya al contrario se vulnera el derecho de protección de datos personales de los particulares.</w:t>
      </w:r>
    </w:p>
    <w:p w:rsidR="005E19B5" w:rsidRPr="005E19B5" w:rsidRDefault="005E19B5" w:rsidP="005E19B5">
      <w:pPr>
        <w:spacing w:before="100" w:beforeAutospacing="1" w:after="100" w:afterAutospacing="1" w:line="360" w:lineRule="auto"/>
        <w:jc w:val="both"/>
        <w:rPr>
          <w:rFonts w:ascii="Palatino Linotype" w:hAnsi="Palatino Linotype" w:cs="Arial"/>
          <w:sz w:val="24"/>
        </w:rPr>
      </w:pPr>
      <w:r w:rsidRPr="005E19B5">
        <w:rPr>
          <w:rFonts w:ascii="Palatino Linotype" w:hAnsi="Palatino Linotype" w:cs="Arial"/>
          <w:sz w:val="24"/>
        </w:rPr>
        <w:t xml:space="preserve">Cabe precisar que al haber un pronunciamiento del Sujeto Obligado respecto al punto controvertido debe señalarse que este Órgano Garante, no se encuentra facultado para dudar de lo informado por parte de </w:t>
      </w:r>
      <w:r>
        <w:rPr>
          <w:rFonts w:ascii="Palatino Linotype" w:hAnsi="Palatino Linotype" w:cs="Arial"/>
          <w:sz w:val="24"/>
        </w:rPr>
        <w:t>la Universidad Autónoma del Estado de México</w:t>
      </w:r>
      <w:r w:rsidRPr="005E19B5">
        <w:rPr>
          <w:rFonts w:ascii="Palatino Linotype" w:hAnsi="Palatino Linotype" w:cs="Arial"/>
          <w:sz w:val="24"/>
        </w:rPr>
        <w:t>, ya que no está en posibilidades para manifestarse sobre la veracidad de lo afirmado por parte de los Sujetos Obligados.</w:t>
      </w:r>
    </w:p>
    <w:p w:rsidR="005E19B5" w:rsidRPr="005E19B5" w:rsidRDefault="005E19B5" w:rsidP="005E19B5">
      <w:pPr>
        <w:spacing w:before="100" w:beforeAutospacing="1" w:after="100" w:afterAutospacing="1" w:line="360" w:lineRule="auto"/>
        <w:jc w:val="both"/>
        <w:rPr>
          <w:rFonts w:ascii="Palatino Linotype" w:hAnsi="Palatino Linotype" w:cs="Arial"/>
          <w:sz w:val="24"/>
        </w:rPr>
      </w:pPr>
      <w:r w:rsidRPr="005E19B5">
        <w:rPr>
          <w:rFonts w:ascii="Palatino Linotype" w:hAnsi="Palatino Linotype" w:cs="Arial"/>
          <w:sz w:val="24"/>
        </w:rPr>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rsidR="005E19B5" w:rsidRPr="005E19B5" w:rsidRDefault="005E19B5" w:rsidP="005E19B5">
      <w:pPr>
        <w:spacing w:before="100" w:beforeAutospacing="1" w:after="100" w:afterAutospacing="1" w:line="240" w:lineRule="auto"/>
        <w:ind w:left="851" w:right="851"/>
        <w:jc w:val="both"/>
        <w:rPr>
          <w:rFonts w:ascii="Palatino Linotype" w:hAnsi="Palatino Linotype" w:cs="Arial"/>
          <w:i/>
        </w:rPr>
      </w:pPr>
      <w:r w:rsidRPr="005E19B5">
        <w:rPr>
          <w:rFonts w:ascii="Palatino Linotype" w:hAnsi="Palatino Linotype" w:cs="Arial"/>
          <w:i/>
        </w:rPr>
        <w:t>“</w:t>
      </w:r>
      <w:r w:rsidRPr="005E19B5">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5E19B5">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w:t>
      </w:r>
      <w:r w:rsidRPr="005E19B5">
        <w:rPr>
          <w:rFonts w:ascii="Palatino Linotype" w:hAnsi="Palatino Linotype" w:cs="Arial"/>
          <w:i/>
        </w:rPr>
        <w:lastRenderedPageBreak/>
        <w:t>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BF7F6A" w:rsidRPr="00BF7F6A" w:rsidRDefault="006A0A20" w:rsidP="00BF7F6A">
      <w:pPr>
        <w:spacing w:before="240" w:after="0" w:line="360" w:lineRule="auto"/>
        <w:jc w:val="both"/>
        <w:rPr>
          <w:rFonts w:ascii="Palatino Linotype" w:hAnsi="Palatino Linotype" w:cs="Arial"/>
          <w:sz w:val="24"/>
          <w:szCs w:val="24"/>
        </w:rPr>
      </w:pPr>
      <w:r w:rsidRPr="002F7D34">
        <w:rPr>
          <w:rFonts w:ascii="Palatino Linotype" w:hAnsi="Palatino Linotype" w:cs="Arial"/>
          <w:sz w:val="24"/>
          <w:szCs w:val="24"/>
        </w:rPr>
        <w:t>Por to</w:t>
      </w:r>
      <w:r w:rsidR="002E584D">
        <w:rPr>
          <w:rFonts w:ascii="Palatino Linotype" w:hAnsi="Palatino Linotype" w:cs="Arial"/>
          <w:sz w:val="24"/>
          <w:szCs w:val="24"/>
        </w:rPr>
        <w:t>do lo expuesto es que</w:t>
      </w:r>
      <w:r w:rsidR="006D0FB7">
        <w:rPr>
          <w:rFonts w:ascii="Palatino Linotype" w:hAnsi="Palatino Linotype" w:cs="Arial"/>
          <w:sz w:val="24"/>
          <w:szCs w:val="24"/>
        </w:rPr>
        <w:t xml:space="preserve"> el suscrito</w:t>
      </w:r>
      <w:r w:rsidR="005A5B87">
        <w:rPr>
          <w:rFonts w:ascii="Palatino Linotype" w:hAnsi="Palatino Linotype" w:cs="Arial"/>
          <w:sz w:val="24"/>
          <w:szCs w:val="24"/>
        </w:rPr>
        <w:t xml:space="preserve"> </w:t>
      </w:r>
      <w:r w:rsidR="006D0FB7">
        <w:rPr>
          <w:rFonts w:ascii="Palatino Linotype" w:hAnsi="Palatino Linotype" w:cs="Arial"/>
          <w:sz w:val="24"/>
          <w:szCs w:val="24"/>
        </w:rPr>
        <w:t>formula</w:t>
      </w:r>
      <w:r w:rsidR="005A5B87">
        <w:rPr>
          <w:rFonts w:ascii="Palatino Linotype" w:hAnsi="Palatino Linotype" w:cs="Arial"/>
          <w:sz w:val="24"/>
          <w:szCs w:val="24"/>
        </w:rPr>
        <w:t xml:space="preserve"> </w:t>
      </w:r>
      <w:r w:rsidR="002E584D">
        <w:rPr>
          <w:rFonts w:ascii="Palatino Linotype" w:hAnsi="Palatino Linotype" w:cs="Arial"/>
          <w:sz w:val="24"/>
          <w:szCs w:val="24"/>
        </w:rPr>
        <w:t>el presente voto</w:t>
      </w:r>
      <w:r w:rsidR="006D0FB7">
        <w:rPr>
          <w:rFonts w:ascii="Palatino Linotype" w:hAnsi="Palatino Linotype" w:cs="Arial"/>
          <w:sz w:val="24"/>
          <w:szCs w:val="24"/>
        </w:rPr>
        <w:t xml:space="preserve"> disidente</w:t>
      </w:r>
      <w:r w:rsidRPr="002F7D34">
        <w:rPr>
          <w:rFonts w:ascii="Palatino Linotype" w:hAnsi="Palatino Linotype" w:cs="Arial"/>
          <w:sz w:val="24"/>
          <w:szCs w:val="24"/>
        </w:rPr>
        <w:t>, en los términos precisados, teniendo que las consideraciones aquí expuestas hubieran resultado importantes para resolver el recurso de revisión.</w:t>
      </w:r>
    </w:p>
    <w:p w:rsidR="00BF7F6A" w:rsidRDefault="00BF7F6A" w:rsidP="00BF7F6A">
      <w:pPr>
        <w:spacing w:after="0" w:line="360" w:lineRule="auto"/>
        <w:jc w:val="both"/>
        <w:rPr>
          <w:rFonts w:ascii="Palatino Linotype" w:hAnsi="Palatino Linotype"/>
        </w:rPr>
      </w:pPr>
    </w:p>
    <w:p w:rsidR="00BF7F6A" w:rsidRDefault="00BF7F6A" w:rsidP="00BF7F6A">
      <w:pPr>
        <w:spacing w:after="0" w:line="360" w:lineRule="auto"/>
        <w:jc w:val="both"/>
        <w:rPr>
          <w:rFonts w:ascii="Palatino Linotype" w:hAnsi="Palatino Linotype"/>
        </w:rPr>
      </w:pPr>
    </w:p>
    <w:p w:rsidR="00C95045" w:rsidRDefault="00C95045" w:rsidP="00BF7F6A">
      <w:pPr>
        <w:spacing w:after="0" w:line="360" w:lineRule="auto"/>
        <w:jc w:val="both"/>
        <w:rPr>
          <w:rFonts w:ascii="Palatino Linotype" w:hAnsi="Palatino Linotype"/>
        </w:rPr>
      </w:pPr>
    </w:p>
    <w:p w:rsidR="00C95045" w:rsidRDefault="00C95045" w:rsidP="00BF7F6A">
      <w:pPr>
        <w:spacing w:after="0" w:line="360" w:lineRule="auto"/>
        <w:jc w:val="both"/>
        <w:rPr>
          <w:rFonts w:ascii="Palatino Linotype" w:hAnsi="Palatino Linotype"/>
        </w:rPr>
      </w:pPr>
    </w:p>
    <w:tbl>
      <w:tblPr>
        <w:tblStyle w:val="Tablaconcuadrcula1"/>
        <w:tblpPr w:leftFromText="141" w:rightFromText="141" w:vertAnchor="text" w:horzAnchor="margin" w:tblpXSpec="center"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6D0FB7" w:rsidRPr="00BF7F6A" w:rsidTr="006D0FB7">
        <w:trPr>
          <w:trHeight w:val="809"/>
        </w:trPr>
        <w:tc>
          <w:tcPr>
            <w:tcW w:w="4396" w:type="dxa"/>
          </w:tcPr>
          <w:p w:rsidR="006D0FB7" w:rsidRPr="00BF7F6A" w:rsidRDefault="006D0FB7" w:rsidP="006D0FB7">
            <w:pPr>
              <w:spacing w:after="160"/>
              <w:jc w:val="center"/>
              <w:rPr>
                <w:rFonts w:ascii="Palatino Linotype" w:hAnsi="Palatino Linotype"/>
                <w:b/>
                <w:sz w:val="24"/>
                <w:szCs w:val="24"/>
              </w:rPr>
            </w:pPr>
          </w:p>
          <w:p w:rsidR="006D0FB7" w:rsidRPr="00BF7F6A" w:rsidRDefault="006D0FB7" w:rsidP="006D0FB7">
            <w:pPr>
              <w:jc w:val="center"/>
              <w:rPr>
                <w:rFonts w:ascii="Palatino Linotype" w:hAnsi="Palatino Linotype"/>
                <w:b/>
                <w:sz w:val="24"/>
                <w:szCs w:val="24"/>
              </w:rPr>
            </w:pPr>
            <w:r>
              <w:rPr>
                <w:rFonts w:ascii="Palatino Linotype" w:hAnsi="Palatino Linotype"/>
                <w:b/>
                <w:sz w:val="24"/>
                <w:szCs w:val="24"/>
              </w:rPr>
              <w:t>Javier Martínez Cruz</w:t>
            </w:r>
          </w:p>
        </w:tc>
      </w:tr>
      <w:tr w:rsidR="006D0FB7" w:rsidRPr="00BF7F6A" w:rsidTr="006D0FB7">
        <w:trPr>
          <w:trHeight w:val="319"/>
        </w:trPr>
        <w:tc>
          <w:tcPr>
            <w:tcW w:w="4396" w:type="dxa"/>
          </w:tcPr>
          <w:p w:rsidR="006D0FB7" w:rsidRPr="00BF7F6A" w:rsidRDefault="006D0FB7" w:rsidP="006D0FB7">
            <w:pPr>
              <w:jc w:val="center"/>
              <w:rPr>
                <w:rFonts w:ascii="Palatino Linotype" w:hAnsi="Palatino Linotype"/>
                <w:b/>
                <w:sz w:val="24"/>
                <w:szCs w:val="24"/>
              </w:rPr>
            </w:pPr>
            <w:r>
              <w:rPr>
                <w:rFonts w:ascii="Palatino Linotype" w:hAnsi="Palatino Linotype"/>
                <w:b/>
                <w:sz w:val="24"/>
                <w:szCs w:val="24"/>
              </w:rPr>
              <w:t>Comisionado</w:t>
            </w:r>
          </w:p>
          <w:p w:rsidR="006D0FB7" w:rsidRPr="00BF7F6A" w:rsidRDefault="006D0FB7" w:rsidP="006D0FB7">
            <w:pPr>
              <w:spacing w:after="160"/>
              <w:jc w:val="center"/>
              <w:rPr>
                <w:rFonts w:ascii="Palatino Linotype" w:hAnsi="Palatino Linotype"/>
                <w:b/>
                <w:sz w:val="24"/>
                <w:szCs w:val="24"/>
              </w:rPr>
            </w:pPr>
            <w:r w:rsidRPr="00BF7F6A">
              <w:rPr>
                <w:rFonts w:ascii="Palatino Linotype" w:hAnsi="Palatino Linotype"/>
                <w:b/>
                <w:sz w:val="24"/>
                <w:szCs w:val="24"/>
              </w:rPr>
              <w:t>(Rúbrica)</w:t>
            </w:r>
          </w:p>
          <w:p w:rsidR="006D0FB7" w:rsidRPr="00BF7F6A" w:rsidRDefault="006D0FB7" w:rsidP="006D0FB7">
            <w:pPr>
              <w:spacing w:after="160"/>
              <w:jc w:val="center"/>
              <w:rPr>
                <w:rFonts w:ascii="Palatino Linotype" w:hAnsi="Palatino Linotype"/>
                <w:sz w:val="24"/>
                <w:szCs w:val="24"/>
              </w:rPr>
            </w:pPr>
          </w:p>
        </w:tc>
      </w:tr>
    </w:tbl>
    <w:p w:rsidR="00BF7F6A" w:rsidRPr="00BF7F6A" w:rsidRDefault="00BF7F6A" w:rsidP="00BF7F6A">
      <w:pPr>
        <w:spacing w:after="0" w:line="360" w:lineRule="auto"/>
        <w:jc w:val="both"/>
        <w:rPr>
          <w:rFonts w:ascii="Palatino Linotype" w:hAnsi="Palatino Linotype"/>
        </w:rPr>
      </w:pPr>
    </w:p>
    <w:p w:rsidR="00BF7F6A" w:rsidRPr="002F7D34" w:rsidRDefault="00BF7F6A" w:rsidP="006A0A20">
      <w:pPr>
        <w:spacing w:before="240" w:after="0" w:line="360" w:lineRule="auto"/>
        <w:jc w:val="both"/>
        <w:rPr>
          <w:rFonts w:ascii="Palatino Linotype" w:hAnsi="Palatino Linotype" w:cs="Arial"/>
          <w:sz w:val="24"/>
          <w:szCs w:val="24"/>
        </w:rPr>
      </w:pPr>
    </w:p>
    <w:sectPr w:rsidR="00BF7F6A" w:rsidRPr="002F7D34">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DDB" w:rsidRDefault="00B56DDB" w:rsidP="006A0A20">
      <w:pPr>
        <w:spacing w:after="0" w:line="240" w:lineRule="auto"/>
      </w:pPr>
      <w:r>
        <w:separator/>
      </w:r>
    </w:p>
  </w:endnote>
  <w:endnote w:type="continuationSeparator" w:id="0">
    <w:p w:rsidR="00B56DDB" w:rsidRDefault="00B56DDB" w:rsidP="006A0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E65" w:rsidRDefault="00B56DDB" w:rsidP="00E555F0">
    <w:pPr>
      <w:tabs>
        <w:tab w:val="center" w:pos="4419"/>
        <w:tab w:val="right" w:pos="8838"/>
      </w:tabs>
      <w:spacing w:after="0" w:line="240" w:lineRule="auto"/>
      <w:jc w:val="right"/>
      <w:rPr>
        <w:rFonts w:ascii="Arial" w:eastAsia="Calibri" w:hAnsi="Arial" w:cs="Arial"/>
        <w:b/>
        <w:bCs/>
        <w:sz w:val="20"/>
        <w:szCs w:val="20"/>
        <w:lang w:val="es-ES" w:eastAsia="es-ES"/>
      </w:rPr>
    </w:pPr>
  </w:p>
  <w:p w:rsidR="009D3E65" w:rsidRDefault="00B56DDB" w:rsidP="00E555F0">
    <w:pPr>
      <w:tabs>
        <w:tab w:val="center" w:pos="4419"/>
        <w:tab w:val="right" w:pos="8838"/>
      </w:tabs>
      <w:spacing w:after="0" w:line="240" w:lineRule="auto"/>
      <w:jc w:val="right"/>
      <w:rPr>
        <w:rFonts w:ascii="Arial" w:eastAsia="Calibri" w:hAnsi="Arial" w:cs="Arial"/>
        <w:b/>
        <w:bCs/>
        <w:sz w:val="20"/>
        <w:szCs w:val="20"/>
        <w:lang w:val="es-ES" w:eastAsia="es-ES"/>
      </w:rPr>
    </w:pPr>
  </w:p>
  <w:p w:rsidR="009D3E65" w:rsidRDefault="00B56DDB" w:rsidP="00E555F0">
    <w:pPr>
      <w:tabs>
        <w:tab w:val="center" w:pos="4419"/>
        <w:tab w:val="right" w:pos="8838"/>
      </w:tabs>
      <w:spacing w:after="0" w:line="240" w:lineRule="auto"/>
      <w:jc w:val="right"/>
      <w:rPr>
        <w:rFonts w:ascii="Arial" w:eastAsia="Calibri" w:hAnsi="Arial" w:cs="Arial"/>
        <w:b/>
        <w:bCs/>
        <w:sz w:val="20"/>
        <w:szCs w:val="20"/>
        <w:lang w:val="es-ES" w:eastAsia="es-ES"/>
      </w:rPr>
    </w:pPr>
  </w:p>
  <w:p w:rsidR="009D3E65" w:rsidRDefault="00B56DDB" w:rsidP="00E555F0">
    <w:pPr>
      <w:tabs>
        <w:tab w:val="center" w:pos="4419"/>
        <w:tab w:val="right" w:pos="8838"/>
      </w:tabs>
      <w:spacing w:after="0" w:line="240" w:lineRule="auto"/>
      <w:jc w:val="right"/>
      <w:rPr>
        <w:rFonts w:ascii="Arial" w:eastAsia="Calibri" w:hAnsi="Arial" w:cs="Arial"/>
        <w:b/>
        <w:bCs/>
        <w:sz w:val="20"/>
        <w:szCs w:val="20"/>
        <w:lang w:val="es-ES" w:eastAsia="es-ES"/>
      </w:rPr>
    </w:pPr>
  </w:p>
  <w:p w:rsidR="009D3E65" w:rsidRDefault="00B56DDB" w:rsidP="00E555F0">
    <w:pPr>
      <w:tabs>
        <w:tab w:val="center" w:pos="4419"/>
        <w:tab w:val="right" w:pos="8838"/>
      </w:tabs>
      <w:spacing w:after="0" w:line="240" w:lineRule="auto"/>
      <w:jc w:val="right"/>
      <w:rPr>
        <w:rFonts w:ascii="Arial" w:eastAsia="Calibri" w:hAnsi="Arial" w:cs="Arial"/>
        <w:b/>
        <w:bCs/>
        <w:sz w:val="20"/>
        <w:szCs w:val="20"/>
        <w:lang w:val="es-ES" w:eastAsia="es-ES"/>
      </w:rPr>
    </w:pPr>
  </w:p>
  <w:p w:rsidR="00E555F0" w:rsidRPr="00B7621A" w:rsidRDefault="006A0D8F" w:rsidP="00E555F0">
    <w:pPr>
      <w:tabs>
        <w:tab w:val="center" w:pos="4419"/>
        <w:tab w:val="right" w:pos="8838"/>
      </w:tabs>
      <w:spacing w:after="0" w:line="240" w:lineRule="auto"/>
      <w:jc w:val="right"/>
      <w:rPr>
        <w:rFonts w:ascii="Calibri" w:eastAsia="Calibri" w:hAnsi="Calibri" w:cs="Times New Roman"/>
      </w:rPr>
    </w:pPr>
    <w:r w:rsidRPr="00B7621A">
      <w:rPr>
        <w:rFonts w:ascii="Arial" w:eastAsia="Calibri" w:hAnsi="Arial" w:cs="Arial"/>
        <w:b/>
        <w:bCs/>
        <w:sz w:val="20"/>
        <w:szCs w:val="20"/>
        <w:lang w:val="es-ES" w:eastAsia="es-ES"/>
      </w:rPr>
      <w:t xml:space="preserve">Página </w:t>
    </w:r>
    <w:r w:rsidRPr="00B7621A">
      <w:rPr>
        <w:rFonts w:ascii="Arial" w:eastAsia="Calibri" w:hAnsi="Arial" w:cs="Arial"/>
        <w:b/>
        <w:bCs/>
        <w:sz w:val="20"/>
        <w:szCs w:val="20"/>
        <w:lang w:val="es-ES" w:eastAsia="es-ES"/>
      </w:rPr>
      <w:fldChar w:fldCharType="begin"/>
    </w:r>
    <w:r w:rsidRPr="00B7621A">
      <w:rPr>
        <w:rFonts w:ascii="Arial" w:eastAsia="Calibri" w:hAnsi="Arial" w:cs="Arial"/>
        <w:b/>
        <w:bCs/>
        <w:sz w:val="20"/>
        <w:szCs w:val="20"/>
        <w:lang w:val="es-ES" w:eastAsia="es-ES"/>
      </w:rPr>
      <w:instrText>PAGE</w:instrText>
    </w:r>
    <w:r w:rsidRPr="00B7621A">
      <w:rPr>
        <w:rFonts w:ascii="Arial" w:eastAsia="Calibri" w:hAnsi="Arial" w:cs="Arial"/>
        <w:b/>
        <w:bCs/>
        <w:sz w:val="20"/>
        <w:szCs w:val="20"/>
        <w:lang w:val="es-ES" w:eastAsia="es-ES"/>
      </w:rPr>
      <w:fldChar w:fldCharType="separate"/>
    </w:r>
    <w:r w:rsidR="00F361D8">
      <w:rPr>
        <w:rFonts w:ascii="Arial" w:eastAsia="Calibri" w:hAnsi="Arial" w:cs="Arial"/>
        <w:b/>
        <w:bCs/>
        <w:noProof/>
        <w:sz w:val="20"/>
        <w:szCs w:val="20"/>
        <w:lang w:val="es-ES" w:eastAsia="es-ES"/>
      </w:rPr>
      <w:t>9</w:t>
    </w:r>
    <w:r w:rsidRPr="00B7621A">
      <w:rPr>
        <w:rFonts w:ascii="Arial" w:eastAsia="Calibri" w:hAnsi="Arial" w:cs="Arial"/>
        <w:b/>
        <w:bCs/>
        <w:sz w:val="20"/>
        <w:szCs w:val="20"/>
        <w:lang w:val="es-ES" w:eastAsia="es-ES"/>
      </w:rPr>
      <w:fldChar w:fldCharType="end"/>
    </w:r>
    <w:r w:rsidRPr="00B7621A">
      <w:rPr>
        <w:rFonts w:ascii="Arial" w:eastAsia="Calibri" w:hAnsi="Arial" w:cs="Arial"/>
        <w:sz w:val="20"/>
        <w:szCs w:val="20"/>
        <w:lang w:val="es-ES" w:eastAsia="es-ES"/>
      </w:rPr>
      <w:t xml:space="preserve"> de </w:t>
    </w:r>
    <w:r w:rsidRPr="00B7621A">
      <w:rPr>
        <w:rFonts w:ascii="Arial" w:eastAsia="Calibri" w:hAnsi="Arial" w:cs="Arial"/>
        <w:b/>
        <w:bCs/>
        <w:sz w:val="20"/>
        <w:szCs w:val="20"/>
        <w:lang w:val="es-ES" w:eastAsia="es-ES"/>
      </w:rPr>
      <w:fldChar w:fldCharType="begin"/>
    </w:r>
    <w:r w:rsidRPr="00B7621A">
      <w:rPr>
        <w:rFonts w:ascii="Arial" w:eastAsia="Calibri" w:hAnsi="Arial" w:cs="Arial"/>
        <w:b/>
        <w:bCs/>
        <w:sz w:val="20"/>
        <w:szCs w:val="20"/>
        <w:lang w:val="es-ES" w:eastAsia="es-ES"/>
      </w:rPr>
      <w:instrText>NUMPAGES</w:instrText>
    </w:r>
    <w:r w:rsidRPr="00B7621A">
      <w:rPr>
        <w:rFonts w:ascii="Arial" w:eastAsia="Calibri" w:hAnsi="Arial" w:cs="Arial"/>
        <w:b/>
        <w:bCs/>
        <w:sz w:val="20"/>
        <w:szCs w:val="20"/>
        <w:lang w:val="es-ES" w:eastAsia="es-ES"/>
      </w:rPr>
      <w:fldChar w:fldCharType="separate"/>
    </w:r>
    <w:r w:rsidR="00F361D8">
      <w:rPr>
        <w:rFonts w:ascii="Arial" w:eastAsia="Calibri" w:hAnsi="Arial" w:cs="Arial"/>
        <w:b/>
        <w:bCs/>
        <w:noProof/>
        <w:sz w:val="20"/>
        <w:szCs w:val="20"/>
        <w:lang w:val="es-ES" w:eastAsia="es-ES"/>
      </w:rPr>
      <w:t>9</w:t>
    </w:r>
    <w:r w:rsidRPr="00B7621A">
      <w:rPr>
        <w:rFonts w:ascii="Arial" w:eastAsia="Calibri" w:hAnsi="Arial" w:cs="Arial"/>
        <w:b/>
        <w:bCs/>
        <w:sz w:val="20"/>
        <w:szCs w:val="20"/>
        <w:lang w:val="es-ES" w:eastAsia="es-ES"/>
      </w:rPr>
      <w:fldChar w:fldCharType="end"/>
    </w:r>
  </w:p>
  <w:p w:rsidR="00E555F0" w:rsidRDefault="00B56DD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DDB" w:rsidRDefault="00B56DDB" w:rsidP="006A0A20">
      <w:pPr>
        <w:spacing w:after="0" w:line="240" w:lineRule="auto"/>
      </w:pPr>
      <w:r>
        <w:separator/>
      </w:r>
    </w:p>
  </w:footnote>
  <w:footnote w:type="continuationSeparator" w:id="0">
    <w:p w:rsidR="00B56DDB" w:rsidRDefault="00B56DDB" w:rsidP="006A0A20">
      <w:pPr>
        <w:spacing w:after="0" w:line="240" w:lineRule="auto"/>
      </w:pPr>
      <w:r>
        <w:continuationSeparator/>
      </w:r>
    </w:p>
  </w:footnote>
  <w:footnote w:id="1">
    <w:p w:rsidR="00871A7E" w:rsidRPr="004E047A" w:rsidRDefault="00871A7E" w:rsidP="00871A7E">
      <w:pPr>
        <w:pStyle w:val="Textonotapie"/>
        <w:rPr>
          <w:rFonts w:ascii="Palatino Linotype" w:hAnsi="Palatino Linotype"/>
          <w:sz w:val="16"/>
          <w:szCs w:val="16"/>
        </w:rPr>
      </w:pPr>
      <w:r>
        <w:rPr>
          <w:rStyle w:val="Refdenotaalpie"/>
        </w:rPr>
        <w:footnoteRef/>
      </w:r>
      <w:r>
        <w:t xml:space="preserve"> </w:t>
      </w:r>
      <w:r w:rsidRPr="004E047A">
        <w:rPr>
          <w:rFonts w:ascii="Palatino Linotype" w:hAnsi="Palatino Linotype"/>
          <w:i/>
          <w:sz w:val="16"/>
          <w:szCs w:val="16"/>
        </w:rPr>
        <w:t xml:space="preserve">“Dictamen 4/2007 sobre el concepto de datos personales”, </w:t>
      </w:r>
      <w:r>
        <w:rPr>
          <w:rFonts w:ascii="Palatino Linotype" w:hAnsi="Palatino Linotype"/>
          <w:sz w:val="16"/>
          <w:szCs w:val="16"/>
        </w:rPr>
        <w:t xml:space="preserve">Adoptado el 20 de Junio, </w:t>
      </w:r>
      <w:r w:rsidRPr="004E047A">
        <w:rPr>
          <w:rFonts w:ascii="Palatino Linotype" w:hAnsi="Palatino Linotype"/>
          <w:sz w:val="16"/>
          <w:szCs w:val="16"/>
        </w:rPr>
        <w:t>Grupo de Trabajo del Articulo 29</w:t>
      </w:r>
      <w:r>
        <w:rPr>
          <w:rFonts w:ascii="Palatino Linotype" w:hAnsi="Palatino Linotype"/>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AFA" w:rsidRPr="00FD1289" w:rsidRDefault="00B56DDB" w:rsidP="00247AFA">
    <w:pPr>
      <w:pStyle w:val="Encabezado"/>
      <w:jc w:val="right"/>
      <w:rPr>
        <w:rFonts w:ascii="Palatino Linotype" w:hAnsi="Palatino Linotype"/>
        <w:b/>
        <w:sz w:val="24"/>
        <w:szCs w:val="24"/>
      </w:rPr>
    </w:pPr>
    <w:r>
      <w:rPr>
        <w:rFonts w:ascii="Palatino Linotype" w:hAnsi="Palatino Linotype"/>
        <w:b/>
        <w:noProof/>
        <w:sz w:val="2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49" type="#_x0000_t75" style="position:absolute;left:0;text-align:left;margin-left:-83.15pt;margin-top:-118.9pt;width:598.5pt;height:779.25pt;z-index:-251658752;mso-position-horizontal-relative:margin;mso-position-vertical-relative:margin" o:allowincell="f">
          <v:imagedata r:id="rId1" o:title="fondo opinion particular"/>
          <w10:wrap anchorx="margin" anchory="margin"/>
        </v:shape>
      </w:pict>
    </w:r>
    <w:r w:rsidR="00CD62F6">
      <w:rPr>
        <w:rFonts w:ascii="Palatino Linotype" w:hAnsi="Palatino Linotype"/>
        <w:b/>
        <w:sz w:val="24"/>
      </w:rPr>
      <w:t>VOTO</w:t>
    </w:r>
    <w:r w:rsidR="006A0D8F" w:rsidRPr="00216F55">
      <w:rPr>
        <w:rFonts w:ascii="Palatino Linotype" w:hAnsi="Palatino Linotype"/>
        <w:b/>
        <w:sz w:val="28"/>
        <w:szCs w:val="24"/>
      </w:rPr>
      <w:t xml:space="preserve"> </w:t>
    </w:r>
    <w:r w:rsidR="003A25E1">
      <w:rPr>
        <w:rFonts w:ascii="Palatino Linotype" w:hAnsi="Palatino Linotype"/>
        <w:b/>
        <w:sz w:val="24"/>
        <w:szCs w:val="24"/>
      </w:rPr>
      <w:t>DISIDENTE</w:t>
    </w:r>
  </w:p>
  <w:p w:rsidR="004D1CAC" w:rsidRPr="009D3E65" w:rsidRDefault="006A0D8F" w:rsidP="004D1CAC">
    <w:pPr>
      <w:pStyle w:val="Encabezado"/>
      <w:jc w:val="right"/>
      <w:rPr>
        <w:rFonts w:ascii="Palatino Linotype" w:hAnsi="Palatino Linotype" w:cs="Arial"/>
        <w:b/>
        <w:bCs/>
        <w:sz w:val="24"/>
        <w:szCs w:val="24"/>
        <w:lang w:eastAsia="es-MX"/>
      </w:rPr>
    </w:pPr>
    <w:r w:rsidRPr="00FD1289">
      <w:rPr>
        <w:rFonts w:ascii="Palatino Linotype" w:hAnsi="Palatino Linotype"/>
        <w:b/>
        <w:sz w:val="24"/>
        <w:szCs w:val="24"/>
      </w:rPr>
      <w:t xml:space="preserve">RECURSO DE REVISIÓN </w:t>
    </w:r>
    <w:r w:rsidR="004E352B">
      <w:rPr>
        <w:rFonts w:ascii="Palatino Linotype" w:hAnsi="Palatino Linotype" w:cs="Arial"/>
        <w:b/>
        <w:bCs/>
        <w:sz w:val="24"/>
        <w:szCs w:val="24"/>
        <w:lang w:eastAsia="es-MX"/>
      </w:rPr>
      <w:t>02066</w:t>
    </w:r>
    <w:r w:rsidR="00CD62F6">
      <w:rPr>
        <w:rFonts w:ascii="Palatino Linotype" w:hAnsi="Palatino Linotype" w:cs="Arial"/>
        <w:b/>
        <w:bCs/>
        <w:sz w:val="24"/>
        <w:szCs w:val="24"/>
        <w:lang w:eastAsia="es-MX"/>
      </w:rPr>
      <w:t>/IN</w:t>
    </w:r>
    <w:r w:rsidR="008D01F8">
      <w:rPr>
        <w:rFonts w:ascii="Palatino Linotype" w:hAnsi="Palatino Linotype" w:cs="Arial"/>
        <w:b/>
        <w:bCs/>
        <w:sz w:val="24"/>
        <w:szCs w:val="24"/>
        <w:lang w:eastAsia="es-MX"/>
      </w:rPr>
      <w:t>FOEM/IP/RR/2018</w:t>
    </w:r>
  </w:p>
  <w:p w:rsidR="00247AFA" w:rsidRDefault="00B56DDB">
    <w:pPr>
      <w:pStyle w:val="Encabezado"/>
    </w:pPr>
  </w:p>
  <w:p w:rsidR="004D1CAC" w:rsidRDefault="00B56DDB">
    <w:pPr>
      <w:pStyle w:val="Encabezado"/>
    </w:pPr>
  </w:p>
  <w:p w:rsidR="004D1CAC" w:rsidRDefault="00B56DDB">
    <w:pPr>
      <w:pStyle w:val="Encabezado"/>
    </w:pPr>
  </w:p>
  <w:p w:rsidR="00CD62F6" w:rsidRDefault="00CD62F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A20"/>
    <w:rsid w:val="00031674"/>
    <w:rsid w:val="00084A52"/>
    <w:rsid w:val="000A39E4"/>
    <w:rsid w:val="000A4BB5"/>
    <w:rsid w:val="00135DC4"/>
    <w:rsid w:val="00225AD4"/>
    <w:rsid w:val="002D2B96"/>
    <w:rsid w:val="002E584D"/>
    <w:rsid w:val="002F7D34"/>
    <w:rsid w:val="003639A5"/>
    <w:rsid w:val="003A25E1"/>
    <w:rsid w:val="004E352B"/>
    <w:rsid w:val="004F0C5D"/>
    <w:rsid w:val="005374CA"/>
    <w:rsid w:val="00570A34"/>
    <w:rsid w:val="005A5B87"/>
    <w:rsid w:val="005B0A91"/>
    <w:rsid w:val="005E19B5"/>
    <w:rsid w:val="005E6D84"/>
    <w:rsid w:val="006A0A20"/>
    <w:rsid w:val="006A0D8F"/>
    <w:rsid w:val="006A5D6E"/>
    <w:rsid w:val="006D0FB7"/>
    <w:rsid w:val="00704D97"/>
    <w:rsid w:val="00707453"/>
    <w:rsid w:val="00804243"/>
    <w:rsid w:val="008244B7"/>
    <w:rsid w:val="00857434"/>
    <w:rsid w:val="00871A7E"/>
    <w:rsid w:val="00876AA5"/>
    <w:rsid w:val="008A515E"/>
    <w:rsid w:val="008C02CD"/>
    <w:rsid w:val="008D01F8"/>
    <w:rsid w:val="00954295"/>
    <w:rsid w:val="009C12C9"/>
    <w:rsid w:val="00A81076"/>
    <w:rsid w:val="00B052CF"/>
    <w:rsid w:val="00B34863"/>
    <w:rsid w:val="00B56DDB"/>
    <w:rsid w:val="00BB10B3"/>
    <w:rsid w:val="00BE5C40"/>
    <w:rsid w:val="00BF7F6A"/>
    <w:rsid w:val="00C70D21"/>
    <w:rsid w:val="00C95045"/>
    <w:rsid w:val="00CB4879"/>
    <w:rsid w:val="00CD62F6"/>
    <w:rsid w:val="00CD6DE9"/>
    <w:rsid w:val="00D464E6"/>
    <w:rsid w:val="00D70071"/>
    <w:rsid w:val="00DF157D"/>
    <w:rsid w:val="00E55B1E"/>
    <w:rsid w:val="00EC570C"/>
    <w:rsid w:val="00EF09A2"/>
    <w:rsid w:val="00F0664C"/>
    <w:rsid w:val="00F361D8"/>
    <w:rsid w:val="00F53D42"/>
    <w:rsid w:val="00F82ADE"/>
    <w:rsid w:val="00F84396"/>
    <w:rsid w:val="00FA0E82"/>
    <w:rsid w:val="00FC4E49"/>
    <w:rsid w:val="00FD6A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5A4F323-7B62-4102-94CC-C040EB76C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A2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0A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0A20"/>
  </w:style>
  <w:style w:type="paragraph" w:styleId="Piedepgina">
    <w:name w:val="footer"/>
    <w:basedOn w:val="Normal"/>
    <w:link w:val="PiedepginaCar"/>
    <w:uiPriority w:val="99"/>
    <w:unhideWhenUsed/>
    <w:rsid w:val="006A0A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0A20"/>
  </w:style>
  <w:style w:type="paragraph" w:styleId="NormalWeb">
    <w:name w:val="Normal (Web)"/>
    <w:basedOn w:val="Normal"/>
    <w:uiPriority w:val="99"/>
    <w:semiHidden/>
    <w:unhideWhenUsed/>
    <w:rsid w:val="006A0A20"/>
    <w:pPr>
      <w:spacing w:before="100" w:beforeAutospacing="1" w:after="100" w:afterAutospacing="1" w:line="240" w:lineRule="auto"/>
    </w:pPr>
    <w:rPr>
      <w:rFonts w:ascii="Times New Roman" w:eastAsiaTheme="minorEastAsia" w:hAnsi="Times New Roman" w:cs="Times New Roman"/>
      <w:sz w:val="24"/>
      <w:szCs w:val="24"/>
      <w:lang w:eastAsia="es-MX"/>
    </w:rPr>
  </w:style>
  <w:style w:type="table" w:styleId="Tablaconcuadrcula">
    <w:name w:val="Table Grid"/>
    <w:basedOn w:val="Tablanormal"/>
    <w:uiPriority w:val="39"/>
    <w:rsid w:val="006A0A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F7D3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7D34"/>
    <w:rPr>
      <w:rFonts w:ascii="Segoe UI" w:hAnsi="Segoe UI" w:cs="Segoe UI"/>
      <w:sz w:val="18"/>
      <w:szCs w:val="18"/>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locked/>
    <w:rsid w:val="00871A7E"/>
    <w:rPr>
      <w:rFonts w:ascii="Times New Roman" w:eastAsia="Calibri" w:hAnsi="Times New Roman" w:cs="Times New Roman"/>
      <w:sz w:val="20"/>
      <w:szCs w:val="20"/>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semiHidden/>
    <w:unhideWhenUsed/>
    <w:rsid w:val="00871A7E"/>
    <w:pPr>
      <w:spacing w:after="0" w:line="240" w:lineRule="auto"/>
    </w:pPr>
    <w:rPr>
      <w:rFonts w:ascii="Times New Roman" w:eastAsia="Calibri" w:hAnsi="Times New Roman" w:cs="Times New Roman"/>
      <w:sz w:val="20"/>
      <w:szCs w:val="20"/>
      <w:lang w:val="es-ES" w:eastAsia="es-ES"/>
    </w:rPr>
  </w:style>
  <w:style w:type="character" w:customStyle="1" w:styleId="TextonotapieCar1">
    <w:name w:val="Texto nota pie Car1"/>
    <w:basedOn w:val="Fuentedeprrafopredeter"/>
    <w:uiPriority w:val="99"/>
    <w:semiHidden/>
    <w:rsid w:val="00871A7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871A7E"/>
    <w:rPr>
      <w:vertAlign w:val="superscript"/>
    </w:rPr>
  </w:style>
  <w:style w:type="table" w:customStyle="1" w:styleId="Tablaconcuadrcula1">
    <w:name w:val="Tabla con cuadrícula1"/>
    <w:basedOn w:val="Tablanormal"/>
    <w:next w:val="Tablaconcuadrcula"/>
    <w:uiPriority w:val="39"/>
    <w:rsid w:val="00BF7F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039438">
      <w:bodyDiv w:val="1"/>
      <w:marLeft w:val="0"/>
      <w:marRight w:val="0"/>
      <w:marTop w:val="0"/>
      <w:marBottom w:val="0"/>
      <w:divBdr>
        <w:top w:val="none" w:sz="0" w:space="0" w:color="auto"/>
        <w:left w:val="none" w:sz="0" w:space="0" w:color="auto"/>
        <w:bottom w:val="none" w:sz="0" w:space="0" w:color="auto"/>
        <w:right w:val="none" w:sz="0" w:space="0" w:color="auto"/>
      </w:divBdr>
    </w:div>
    <w:div w:id="142588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2066</Words>
  <Characters>11369</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13409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2</cp:revision>
  <cp:lastPrinted>2018-06-08T00:28:00Z</cp:lastPrinted>
  <dcterms:created xsi:type="dcterms:W3CDTF">2018-10-16T01:05:00Z</dcterms:created>
  <dcterms:modified xsi:type="dcterms:W3CDTF">2018-10-16T01:05:00Z</dcterms:modified>
</cp:coreProperties>
</file>